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0AE" w14:textId="2DF58221" w:rsidR="00F40E78" w:rsidRPr="00F40E78" w:rsidRDefault="00F40E78" w:rsidP="00F40E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  <w:r w:rsidRPr="00F40E78">
        <w:rPr>
          <w:rFonts w:ascii="Calibri" w:eastAsia="Times New Roman" w:hAnsi="Calibri" w:cs="Times New Roman"/>
          <w:noProof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72101E0D" wp14:editId="0912B6A5">
            <wp:simplePos x="0" y="0"/>
            <wp:positionH relativeFrom="column">
              <wp:posOffset>1724025</wp:posOffset>
            </wp:positionH>
            <wp:positionV relativeFrom="paragraph">
              <wp:align>top</wp:align>
            </wp:positionV>
            <wp:extent cx="2260600" cy="1114425"/>
            <wp:effectExtent l="0" t="0" r="6350" b="9525"/>
            <wp:wrapTight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B9C11" w14:textId="77777777" w:rsidR="00F40E78" w:rsidRPr="00F40E78" w:rsidRDefault="00F40E78" w:rsidP="00F40E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73F37EE" w14:textId="77777777" w:rsidR="00F40E78" w:rsidRPr="00F40E78" w:rsidRDefault="00F40E78" w:rsidP="00F40E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F5173C3" w14:textId="77777777" w:rsidR="00F40E78" w:rsidRPr="00F40E78" w:rsidRDefault="00F40E78" w:rsidP="00F40E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2D2D290" w14:textId="77777777" w:rsidR="00F40E78" w:rsidRPr="00F40E78" w:rsidRDefault="00F40E78" w:rsidP="00F40E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CE4A62B" w14:textId="77777777" w:rsidR="00F40E78" w:rsidRPr="00F40E78" w:rsidRDefault="00F40E78" w:rsidP="00F40E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AC7A0E1" w14:textId="77777777" w:rsidR="00F40E78" w:rsidRPr="00F40E78" w:rsidRDefault="00F40E78" w:rsidP="00F40E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773A8BC" w14:textId="77777777" w:rsidR="00F40E78" w:rsidRPr="00F40E78" w:rsidRDefault="00F40E78" w:rsidP="00F40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40E78">
        <w:rPr>
          <w:rFonts w:ascii="Arial" w:eastAsia="Times New Roman" w:hAnsi="Arial" w:cs="Arial"/>
          <w:b/>
          <w:sz w:val="24"/>
          <w:szCs w:val="24"/>
          <w:lang w:eastAsia="en-GB"/>
        </w:rPr>
        <w:t>Student Learning &amp; Experience Committee</w:t>
      </w:r>
    </w:p>
    <w:p w14:paraId="5B1D1BB2" w14:textId="77777777" w:rsidR="00F40E78" w:rsidRPr="00F40E78" w:rsidRDefault="00F40E78" w:rsidP="00F40E78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</w:p>
    <w:tbl>
      <w:tblPr>
        <w:tblW w:w="0" w:type="auto"/>
        <w:tblInd w:w="198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40E78" w:rsidRPr="00F40E78" w14:paraId="01553410" w14:textId="77777777" w:rsidTr="007306C4">
        <w:tc>
          <w:tcPr>
            <w:tcW w:w="8778" w:type="dxa"/>
            <w:shd w:val="clear" w:color="auto" w:fill="F4B083"/>
          </w:tcPr>
          <w:p w14:paraId="06BC6EFC" w14:textId="77777777" w:rsidR="00F40E78" w:rsidRPr="00F40E78" w:rsidRDefault="00F40E78" w:rsidP="00F40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48"/>
                <w:szCs w:val="48"/>
              </w:rPr>
            </w:pPr>
          </w:p>
          <w:p w14:paraId="4472454D" w14:textId="2DBB37AE" w:rsidR="00F40E78" w:rsidRDefault="00F40E78" w:rsidP="00F4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  <w:t xml:space="preserve">Principles of Academic Delivery </w:t>
            </w:r>
          </w:p>
          <w:p w14:paraId="28E72FC7" w14:textId="3C94190D" w:rsidR="00F40E78" w:rsidRPr="00F40E78" w:rsidRDefault="00F40E78" w:rsidP="00F4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  <w:t>Exemption Request</w:t>
            </w:r>
          </w:p>
          <w:p w14:paraId="70978EFB" w14:textId="77777777" w:rsidR="00F40E78" w:rsidRPr="00F40E78" w:rsidRDefault="00F40E78" w:rsidP="00F40E78">
            <w:pPr>
              <w:spacing w:after="0" w:line="240" w:lineRule="auto"/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</w:tbl>
    <w:p w14:paraId="3CBB0D79" w14:textId="77777777" w:rsidR="00F40E78" w:rsidRPr="00F40E78" w:rsidRDefault="00F40E78" w:rsidP="00F40E78">
      <w:pPr>
        <w:tabs>
          <w:tab w:val="left" w:pos="0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226D1475" w14:textId="6C316C13" w:rsidR="00EB0926" w:rsidRDefault="00EB0926" w:rsidP="3CA759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0C043F" w14:textId="4B0BBBBA" w:rsidR="009C692C" w:rsidRDefault="009C692C" w:rsidP="3CA759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2DBC6B" w14:textId="77777777" w:rsidR="009C692C" w:rsidRPr="003B3A40" w:rsidRDefault="009C692C" w:rsidP="3CA759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FACB94" w14:textId="77777777" w:rsidR="00EB0926" w:rsidRPr="003B3A40" w:rsidRDefault="00EB0926" w:rsidP="3CA759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29762C" w14:textId="12854D4F" w:rsidR="00EB0926" w:rsidRPr="003B3A40" w:rsidRDefault="00EB0926" w:rsidP="3CA75943">
      <w:pPr>
        <w:spacing w:after="0" w:line="240" w:lineRule="auto"/>
        <w:rPr>
          <w:rFonts w:ascii="Arial" w:eastAsia="Arial" w:hAnsi="Arial" w:cs="Arial"/>
        </w:rPr>
      </w:pPr>
    </w:p>
    <w:p w14:paraId="1EF396A9" w14:textId="01E78566" w:rsidR="005D1B28" w:rsidRPr="003B3A40" w:rsidRDefault="005D1B28" w:rsidP="3CA75943">
      <w:pPr>
        <w:spacing w:after="0" w:line="240" w:lineRule="auto"/>
        <w:rPr>
          <w:rFonts w:ascii="Arial" w:eastAsia="Arial" w:hAnsi="Arial" w:cs="Arial"/>
        </w:rPr>
      </w:pPr>
    </w:p>
    <w:p w14:paraId="1C00944C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5BA51028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7DC93D8D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359FB34A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0B92CD96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1A126BF7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4871EAFF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235B3731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1042EC0F" w14:textId="0187C630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50CAC62D" w14:textId="0E2182AB" w:rsidR="002A5073" w:rsidRPr="003B3A40" w:rsidRDefault="002A5073" w:rsidP="3CA75943">
      <w:pPr>
        <w:spacing w:after="0" w:line="240" w:lineRule="auto"/>
        <w:rPr>
          <w:rFonts w:ascii="Arial" w:eastAsia="Arial" w:hAnsi="Arial" w:cs="Arial"/>
        </w:rPr>
      </w:pPr>
    </w:p>
    <w:p w14:paraId="369EA2A7" w14:textId="7ED2B3E9" w:rsidR="002A5073" w:rsidRPr="003B3A40" w:rsidRDefault="002A5073" w:rsidP="3CA75943">
      <w:pPr>
        <w:spacing w:after="0" w:line="240" w:lineRule="auto"/>
        <w:rPr>
          <w:rFonts w:ascii="Arial" w:eastAsia="Arial" w:hAnsi="Arial" w:cs="Arial"/>
        </w:rPr>
      </w:pPr>
    </w:p>
    <w:p w14:paraId="744CEA47" w14:textId="77777777" w:rsidR="002A5073" w:rsidRPr="003B3A40" w:rsidRDefault="002A5073" w:rsidP="3CA75943">
      <w:pPr>
        <w:spacing w:after="0" w:line="240" w:lineRule="auto"/>
        <w:rPr>
          <w:rFonts w:ascii="Arial" w:eastAsia="Arial" w:hAnsi="Arial" w:cs="Arial"/>
        </w:rPr>
      </w:pPr>
    </w:p>
    <w:p w14:paraId="6B76678E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2FAC46D2" w14:textId="77777777" w:rsidR="00860E16" w:rsidRPr="003B3A40" w:rsidRDefault="00860E16" w:rsidP="3CA75943">
      <w:pPr>
        <w:spacing w:after="0" w:line="240" w:lineRule="auto"/>
        <w:rPr>
          <w:rFonts w:ascii="Arial" w:eastAsia="Arial" w:hAnsi="Arial" w:cs="Arial"/>
        </w:rPr>
      </w:pPr>
    </w:p>
    <w:p w14:paraId="29F54FC8" w14:textId="43026833" w:rsidR="005D1B28" w:rsidRPr="003B3A40" w:rsidRDefault="005D1B28" w:rsidP="3CA75943">
      <w:pPr>
        <w:spacing w:after="0" w:line="240" w:lineRule="auto"/>
        <w:rPr>
          <w:rFonts w:ascii="Arial" w:eastAsia="Arial" w:hAnsi="Arial" w:cs="Arial"/>
        </w:rPr>
      </w:pPr>
    </w:p>
    <w:p w14:paraId="4E148C3B" w14:textId="77777777" w:rsidR="005D1B28" w:rsidRPr="003B3A40" w:rsidRDefault="005D1B28" w:rsidP="3CA75943">
      <w:pPr>
        <w:spacing w:after="0" w:line="240" w:lineRule="auto"/>
        <w:rPr>
          <w:rFonts w:ascii="Arial" w:eastAsia="Arial" w:hAnsi="Arial" w:cs="Arial"/>
        </w:rPr>
      </w:pPr>
    </w:p>
    <w:p w14:paraId="6A1BDAA4" w14:textId="77777777" w:rsidR="00A22448" w:rsidRPr="003B3A40" w:rsidRDefault="00A22448" w:rsidP="3CA75943">
      <w:pPr>
        <w:spacing w:after="0" w:line="240" w:lineRule="auto"/>
        <w:rPr>
          <w:rFonts w:ascii="Arial" w:eastAsia="Arial" w:hAnsi="Arial" w:cs="Arial"/>
        </w:rPr>
      </w:pPr>
    </w:p>
    <w:p w14:paraId="68E15E77" w14:textId="77777777" w:rsidR="00EB0926" w:rsidRPr="003B3A40" w:rsidRDefault="00EB0926" w:rsidP="3CA75943">
      <w:pPr>
        <w:spacing w:after="0" w:line="240" w:lineRule="auto"/>
        <w:rPr>
          <w:rFonts w:ascii="Arial" w:eastAsia="Arial" w:hAnsi="Arial" w:cs="Arial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EB0926" w:rsidRPr="003B3A40" w14:paraId="076A9440" w14:textId="77777777" w:rsidTr="00B71AA3">
        <w:trPr>
          <w:trHeight w:val="1997"/>
        </w:trPr>
        <w:tc>
          <w:tcPr>
            <w:tcW w:w="7230" w:type="dxa"/>
            <w:shd w:val="clear" w:color="auto" w:fill="auto"/>
          </w:tcPr>
          <w:p w14:paraId="6C2478D9" w14:textId="77777777" w:rsidR="009C692C" w:rsidRDefault="009C692C" w:rsidP="009C692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87BDEC6" w14:textId="6615C49C" w:rsidR="00EB0926" w:rsidRPr="003B3A40" w:rsidRDefault="00EB0926" w:rsidP="009C692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x-none"/>
              </w:rPr>
            </w:pP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Document </w:t>
            </w: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>Owner:</w:t>
            </w: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ab/>
            </w:r>
            <w:r w:rsidRPr="003B3A40">
              <w:rPr>
                <w:rFonts w:ascii="Arial" w:eastAsia="Calibri" w:hAnsi="Arial" w:cs="Arial"/>
                <w:sz w:val="20"/>
                <w:szCs w:val="20"/>
              </w:rPr>
              <w:t>Student Learning &amp; Academic</w:t>
            </w:r>
            <w:r w:rsidRPr="003B3A4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Registry</w:t>
            </w: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1E42C6" w14:textId="6762EFCB" w:rsidR="00EB0926" w:rsidRPr="003B3A40" w:rsidRDefault="00EB0926" w:rsidP="009C692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x-none"/>
              </w:rPr>
            </w:pP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>Version number:</w:t>
            </w: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  <w:lang w:val="x-none"/>
              </w:rPr>
              <w:tab/>
            </w:r>
            <w:r w:rsidR="00A2392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="009B2F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  <w:p w14:paraId="5AF46E89" w14:textId="2E4E3AEE" w:rsidR="00EB0926" w:rsidRPr="003B3A40" w:rsidRDefault="00EB0926" w:rsidP="009C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3B3A40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  <w:r w:rsidRPr="003B3A40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September 202</w:t>
            </w:r>
            <w:r w:rsidR="00A23924">
              <w:rPr>
                <w:rFonts w:ascii="Arial" w:eastAsia="Calibri" w:hAnsi="Arial" w:cs="Arial"/>
                <w:sz w:val="20"/>
                <w:szCs w:val="20"/>
                <w:lang w:val="en-US"/>
              </w:rPr>
              <w:t>3 (Academic Year 2023-2024)</w:t>
            </w:r>
          </w:p>
          <w:p w14:paraId="6E4157FB" w14:textId="167A9313" w:rsidR="00EB0926" w:rsidRPr="003B3A40" w:rsidRDefault="00EB0926" w:rsidP="009C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3B3A4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="00A23924" w:rsidRPr="00EB43E1">
              <w:rPr>
                <w:rFonts w:ascii="Arial" w:eastAsia="Calibri" w:hAnsi="Arial" w:cs="Arial"/>
                <w:sz w:val="20"/>
                <w:szCs w:val="20"/>
                <w:lang w:val="en-US"/>
              </w:rPr>
              <w:t>July 2024</w:t>
            </w:r>
          </w:p>
          <w:p w14:paraId="4D3CBD34" w14:textId="77777777" w:rsidR="00EB0926" w:rsidRPr="003B3A40" w:rsidRDefault="00EB0926" w:rsidP="009C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63F59F3" w14:textId="359493E3" w:rsidR="00EB0926" w:rsidRPr="003B3A40" w:rsidRDefault="00EB0926" w:rsidP="009C692C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B3A4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</w:tc>
      </w:tr>
    </w:tbl>
    <w:p w14:paraId="6925367A" w14:textId="75BAB9AA" w:rsidR="00EB0926" w:rsidRDefault="00EB0926"/>
    <w:p w14:paraId="5166C086" w14:textId="77777777" w:rsidR="00683CE9" w:rsidRPr="003B3A40" w:rsidRDefault="00683CE9">
      <w:pPr>
        <w:rPr>
          <w:rFonts w:ascii="Arial" w:hAnsi="Arial" w:cs="Arial"/>
        </w:rPr>
        <w:sectPr w:rsidR="00683CE9" w:rsidRPr="003B3A40" w:rsidSect="00683CE9">
          <w:footerReference w:type="default" r:id="rId12"/>
          <w:headerReference w:type="first" r:id="rId13"/>
          <w:pgSz w:w="11906" w:h="16838"/>
          <w:pgMar w:top="1440" w:right="1440" w:bottom="1440" w:left="1440" w:header="930" w:footer="709" w:gutter="0"/>
          <w:cols w:space="708"/>
          <w:titlePg/>
          <w:docGrid w:linePitch="360"/>
        </w:sectPr>
      </w:pPr>
    </w:p>
    <w:p w14:paraId="3279162D" w14:textId="7A3028FB" w:rsidR="002D3AB3" w:rsidRPr="003B3A40" w:rsidRDefault="0089765A" w:rsidP="0AA6C36D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A40"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CBACDB3" wp14:editId="43D5BFE9">
            <wp:simplePos x="0" y="0"/>
            <wp:positionH relativeFrom="column">
              <wp:posOffset>4592320</wp:posOffset>
            </wp:positionH>
            <wp:positionV relativeFrom="paragraph">
              <wp:posOffset>-347345</wp:posOffset>
            </wp:positionV>
            <wp:extent cx="1411666" cy="70225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66" cy="7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58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Principles of </w:t>
      </w:r>
      <w:r w:rsidR="00420F88" w:rsidRPr="003B3A4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Academic Delivery </w:t>
      </w:r>
      <w:r w:rsidR="00BD55AE">
        <w:rPr>
          <w:rFonts w:ascii="Arial" w:hAnsi="Arial" w:cs="Arial"/>
          <w:b/>
          <w:bCs/>
          <w:noProof/>
          <w:sz w:val="28"/>
          <w:szCs w:val="28"/>
          <w:lang w:eastAsia="en-GB"/>
        </w:rPr>
        <w:t>Exemption</w:t>
      </w:r>
      <w:r w:rsidR="00BC6CF7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14:paraId="6A547A16" w14:textId="1E238DE5" w:rsidR="0012601E" w:rsidRPr="003B3A40" w:rsidRDefault="0012601E" w:rsidP="0012601E">
      <w:pPr>
        <w:tabs>
          <w:tab w:val="center" w:pos="4513"/>
          <w:tab w:val="right" w:pos="9026"/>
        </w:tabs>
        <w:spacing w:after="120"/>
        <w:rPr>
          <w:rFonts w:ascii="Arial" w:hAnsi="Arial" w:cs="Arial"/>
        </w:rPr>
      </w:pPr>
      <w:r w:rsidRPr="003B3A40">
        <w:rPr>
          <w:rFonts w:ascii="Arial" w:hAnsi="Arial" w:cs="Arial"/>
          <w:b/>
          <w:sz w:val="24"/>
        </w:rPr>
        <w:t xml:space="preserve">Student </w:t>
      </w:r>
      <w:r w:rsidR="001A1537" w:rsidRPr="003B3A40">
        <w:rPr>
          <w:rFonts w:ascii="Arial" w:hAnsi="Arial" w:cs="Arial"/>
          <w:b/>
          <w:sz w:val="24"/>
        </w:rPr>
        <w:t xml:space="preserve">Learning </w:t>
      </w:r>
      <w:r w:rsidRPr="003B3A40">
        <w:rPr>
          <w:rFonts w:ascii="Arial" w:hAnsi="Arial" w:cs="Arial"/>
          <w:b/>
          <w:sz w:val="24"/>
        </w:rPr>
        <w:t>and Academic Registry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6521"/>
      </w:tblGrid>
      <w:tr w:rsidR="001A1537" w:rsidRPr="003B3A40" w14:paraId="1DC0C32F" w14:textId="77777777" w:rsidTr="00410AD2">
        <w:trPr>
          <w:trHeight w:val="631"/>
        </w:trPr>
        <w:tc>
          <w:tcPr>
            <w:tcW w:w="2745" w:type="dxa"/>
            <w:shd w:val="clear" w:color="auto" w:fill="auto"/>
          </w:tcPr>
          <w:p w14:paraId="7BCC69D6" w14:textId="7DEE9787" w:rsidR="001A1537" w:rsidRPr="003B3A40" w:rsidRDefault="001A1537" w:rsidP="00A208E6">
            <w:pPr>
              <w:spacing w:after="0"/>
              <w:ind w:right="246"/>
              <w:rPr>
                <w:rFonts w:ascii="Arial" w:eastAsia="Times New Roman" w:hAnsi="Arial" w:cs="Arial"/>
                <w:b/>
                <w:bCs/>
              </w:rPr>
            </w:pPr>
            <w:r w:rsidRPr="003B3A40">
              <w:rPr>
                <w:rFonts w:ascii="Arial" w:eastAsia="Times New Roman" w:hAnsi="Arial" w:cs="Arial"/>
                <w:b/>
                <w:bCs/>
              </w:rPr>
              <w:t>School</w:t>
            </w:r>
            <w:r w:rsidR="006E0A5C" w:rsidRPr="003B3A40">
              <w:rPr>
                <w:rFonts w:ascii="Arial" w:eastAsia="Times New Roman" w:hAnsi="Arial" w:cs="Arial"/>
                <w:b/>
                <w:bCs/>
              </w:rPr>
              <w:t>(s)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052DF3" w14:textId="77777777" w:rsidR="001A1537" w:rsidRPr="003B3A40" w:rsidRDefault="001A1537" w:rsidP="00A208E6">
            <w:pPr>
              <w:spacing w:after="0"/>
              <w:ind w:right="24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A1537" w:rsidRPr="003B3A40" w14:paraId="76010D9E" w14:textId="77777777" w:rsidTr="00410AD2">
        <w:trPr>
          <w:trHeight w:val="696"/>
        </w:trPr>
        <w:tc>
          <w:tcPr>
            <w:tcW w:w="2745" w:type="dxa"/>
            <w:shd w:val="clear" w:color="auto" w:fill="auto"/>
          </w:tcPr>
          <w:p w14:paraId="471F4E15" w14:textId="1717D254" w:rsidR="001A1537" w:rsidRPr="003B3A40" w:rsidRDefault="001A1537" w:rsidP="00410AD2">
            <w:pPr>
              <w:spacing w:after="0"/>
              <w:rPr>
                <w:rFonts w:ascii="Arial" w:eastAsia="Times New Roman" w:hAnsi="Arial" w:cs="Arial"/>
                <w:b/>
                <w:szCs w:val="24"/>
              </w:rPr>
            </w:pPr>
            <w:r w:rsidRPr="003B3A40">
              <w:rPr>
                <w:rFonts w:ascii="Arial" w:eastAsia="Times New Roman" w:hAnsi="Arial" w:cs="Arial"/>
                <w:b/>
                <w:szCs w:val="24"/>
              </w:rPr>
              <w:t>Partner (</w:t>
            </w:r>
            <w:r w:rsidR="00860E16" w:rsidRPr="003B3A40">
              <w:rPr>
                <w:rFonts w:ascii="Arial" w:eastAsia="Times New Roman" w:hAnsi="Arial" w:cs="Arial"/>
                <w:b/>
                <w:szCs w:val="24"/>
              </w:rPr>
              <w:t>i</w:t>
            </w:r>
            <w:r w:rsidRPr="003B3A40">
              <w:rPr>
                <w:rFonts w:ascii="Arial" w:eastAsia="Times New Roman" w:hAnsi="Arial" w:cs="Arial"/>
                <w:b/>
                <w:szCs w:val="24"/>
              </w:rPr>
              <w:t>f applicable)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0355D8" w14:textId="77777777" w:rsidR="001A1537" w:rsidRPr="003B3A40" w:rsidRDefault="001A1537" w:rsidP="00A208E6">
            <w:pPr>
              <w:spacing w:after="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A1537" w:rsidRPr="003B3A40" w14:paraId="15F04225" w14:textId="77777777" w:rsidTr="001F7647">
        <w:trPr>
          <w:trHeight w:val="450"/>
        </w:trPr>
        <w:tc>
          <w:tcPr>
            <w:tcW w:w="2745" w:type="dxa"/>
            <w:shd w:val="clear" w:color="auto" w:fill="auto"/>
          </w:tcPr>
          <w:p w14:paraId="0D9A5242" w14:textId="2400D7E7" w:rsidR="001A1537" w:rsidRPr="003B3A40" w:rsidRDefault="001A1537" w:rsidP="00410AD2">
            <w:pPr>
              <w:spacing w:after="0"/>
              <w:rPr>
                <w:rFonts w:ascii="Arial" w:eastAsia="Times New Roman" w:hAnsi="Arial" w:cs="Arial"/>
                <w:b/>
                <w:szCs w:val="24"/>
              </w:rPr>
            </w:pPr>
            <w:r w:rsidRPr="003B3A40">
              <w:rPr>
                <w:rFonts w:ascii="Arial" w:eastAsia="Times New Roman" w:hAnsi="Arial" w:cs="Arial"/>
                <w:b/>
                <w:szCs w:val="24"/>
              </w:rPr>
              <w:t>Course Title</w:t>
            </w:r>
            <w:r w:rsidR="00A208E6" w:rsidRPr="003B3A40">
              <w:rPr>
                <w:rFonts w:ascii="Arial" w:eastAsia="Times New Roman" w:hAnsi="Arial" w:cs="Arial"/>
                <w:b/>
                <w:szCs w:val="24"/>
              </w:rPr>
              <w:t>(s)</w:t>
            </w:r>
          </w:p>
        </w:tc>
        <w:tc>
          <w:tcPr>
            <w:tcW w:w="6521" w:type="dxa"/>
            <w:shd w:val="clear" w:color="auto" w:fill="auto"/>
          </w:tcPr>
          <w:p w14:paraId="7FF4094C" w14:textId="77777777" w:rsidR="001A1537" w:rsidRDefault="001A1537" w:rsidP="001F764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525769" w14:textId="11DB7214" w:rsidR="00724006" w:rsidRPr="003B3A40" w:rsidRDefault="00724006" w:rsidP="001F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3A4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B16DB0"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Please</w:t>
            </w:r>
            <w:r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note</w:t>
            </w:r>
            <w:r w:rsidR="00B16DB0"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:</w:t>
            </w:r>
            <w:r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7E3EDC"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if</w:t>
            </w:r>
            <w:r w:rsidR="00B16DB0"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appropriate, </w:t>
            </w:r>
            <w:r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 separate list of course titles would be accepted</w:t>
            </w:r>
            <w:r w:rsidR="00591A99"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where multiple course</w:t>
            </w:r>
            <w:r w:rsidR="00513BFA" w:rsidRPr="003B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exemptions are requested</w:t>
            </w:r>
            <w:r w:rsidR="00B16DB0" w:rsidRPr="003B3A4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A1537" w:rsidRPr="003B3A40" w14:paraId="1B744361" w14:textId="77777777" w:rsidTr="00410AD2">
        <w:trPr>
          <w:trHeight w:val="575"/>
        </w:trPr>
        <w:tc>
          <w:tcPr>
            <w:tcW w:w="2745" w:type="dxa"/>
            <w:shd w:val="clear" w:color="auto" w:fill="auto"/>
          </w:tcPr>
          <w:p w14:paraId="0D1ACEF5" w14:textId="570DF91B" w:rsidR="001A1537" w:rsidRPr="003B3A40" w:rsidRDefault="001A1537" w:rsidP="00410AD2">
            <w:pPr>
              <w:spacing w:after="0"/>
              <w:rPr>
                <w:rFonts w:ascii="Arial" w:eastAsia="Times New Roman" w:hAnsi="Arial" w:cs="Arial"/>
                <w:b/>
                <w:szCs w:val="24"/>
              </w:rPr>
            </w:pPr>
            <w:r w:rsidRPr="003B3A40">
              <w:rPr>
                <w:rFonts w:ascii="Arial" w:eastAsia="Times New Roman" w:hAnsi="Arial" w:cs="Arial"/>
                <w:b/>
                <w:szCs w:val="24"/>
              </w:rPr>
              <w:t>Course Leader</w:t>
            </w:r>
            <w:r w:rsidR="006E0A5C" w:rsidRPr="003B3A40">
              <w:rPr>
                <w:rFonts w:ascii="Arial" w:eastAsia="Times New Roman" w:hAnsi="Arial" w:cs="Arial"/>
                <w:b/>
                <w:szCs w:val="24"/>
              </w:rPr>
              <w:t>(s)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88257EF" w14:textId="77777777" w:rsidR="001A1537" w:rsidRPr="003B3A40" w:rsidRDefault="001A1537" w:rsidP="00A208E6">
            <w:pPr>
              <w:spacing w:after="0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83C742F" w14:textId="15EF33F7" w:rsidR="00A53F03" w:rsidRPr="003B3A40" w:rsidRDefault="00A53F03" w:rsidP="00A53F03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95D3E8" w14:textId="556B80D1" w:rsidR="009A64B0" w:rsidRDefault="009A64B0" w:rsidP="00A53F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E96018" w14:textId="17E14392" w:rsidR="00772704" w:rsidRDefault="00F96358" w:rsidP="007727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 w:themeColor="text1"/>
        </w:rPr>
        <w:t>M</w:t>
      </w:r>
      <w:r w:rsidR="00E412F6">
        <w:rPr>
          <w:rStyle w:val="normaltextrun"/>
          <w:rFonts w:ascii="Arial" w:hAnsi="Arial" w:cs="Arial"/>
          <w:color w:val="000000" w:themeColor="text1"/>
        </w:rPr>
        <w:t>onitoring the alignment of Teesside University Principles of Academic Delivery for undergraduate provision will be managed via the validation process,</w:t>
      </w:r>
      <w:r>
        <w:rPr>
          <w:rStyle w:val="normaltextrun"/>
          <w:rFonts w:ascii="Arial" w:hAnsi="Arial" w:cs="Arial"/>
          <w:color w:val="000000" w:themeColor="text1"/>
        </w:rPr>
        <w:t xml:space="preserve"> although</w:t>
      </w:r>
      <w:r w:rsidR="00E412F6">
        <w:rPr>
          <w:rStyle w:val="normaltextrun"/>
          <w:rFonts w:ascii="Arial" w:hAnsi="Arial" w:cs="Arial"/>
          <w:color w:val="000000" w:themeColor="text1"/>
        </w:rPr>
        <w:t xml:space="preserve"> i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>t is acknowledged that</w:t>
      </w:r>
      <w:r w:rsidR="00E412F6">
        <w:rPr>
          <w:rStyle w:val="normaltextrun"/>
          <w:rFonts w:ascii="Arial" w:hAnsi="Arial" w:cs="Arial"/>
          <w:color w:val="000000" w:themeColor="text1"/>
        </w:rPr>
        <w:t xml:space="preserve"> prior to commencing completion of </w:t>
      </w:r>
      <w:r>
        <w:rPr>
          <w:rStyle w:val="normaltextrun"/>
          <w:rFonts w:ascii="Arial" w:hAnsi="Arial" w:cs="Arial"/>
          <w:color w:val="000000" w:themeColor="text1"/>
        </w:rPr>
        <w:t xml:space="preserve">event </w:t>
      </w:r>
      <w:r w:rsidR="00E412F6">
        <w:rPr>
          <w:rStyle w:val="normaltextrun"/>
          <w:rFonts w:ascii="Arial" w:hAnsi="Arial" w:cs="Arial"/>
          <w:color w:val="000000" w:themeColor="text1"/>
        </w:rPr>
        <w:t>documentation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E412F6">
        <w:rPr>
          <w:rStyle w:val="normaltextrun"/>
          <w:rFonts w:ascii="Arial" w:hAnsi="Arial" w:cs="Arial"/>
          <w:color w:val="000000" w:themeColor="text1"/>
        </w:rPr>
        <w:t>the Course Team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 xml:space="preserve"> may wish to present a</w:t>
      </w:r>
      <w:r>
        <w:rPr>
          <w:rStyle w:val="normaltextrun"/>
          <w:rFonts w:ascii="Arial" w:hAnsi="Arial" w:cs="Arial"/>
          <w:color w:val="000000" w:themeColor="text1"/>
        </w:rPr>
        <w:t>n exemption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E412F6">
        <w:rPr>
          <w:rStyle w:val="normaltextrun"/>
          <w:rFonts w:ascii="Arial" w:hAnsi="Arial" w:cs="Arial"/>
          <w:color w:val="000000" w:themeColor="text1"/>
        </w:rPr>
        <w:t>from one or more of the principles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>.</w:t>
      </w:r>
      <w:r w:rsidR="00772704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</w:rPr>
        <w:t>To ensure a consistent approach, t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 xml:space="preserve">he </w:t>
      </w:r>
      <w:r w:rsidR="00E412F6">
        <w:rPr>
          <w:rStyle w:val="normaltextrun"/>
          <w:rFonts w:ascii="Arial" w:hAnsi="Arial" w:cs="Arial"/>
          <w:color w:val="000000" w:themeColor="text1"/>
        </w:rPr>
        <w:t>Associate Dean (Learning and Teaching)</w:t>
      </w:r>
      <w:r w:rsidR="00772704" w:rsidRPr="6C85EB23">
        <w:rPr>
          <w:rStyle w:val="normaltextrun"/>
          <w:rFonts w:ascii="Arial" w:hAnsi="Arial" w:cs="Arial"/>
          <w:color w:val="000000" w:themeColor="text1"/>
        </w:rPr>
        <w:t xml:space="preserve"> will consider each case individually following the submission of the exemption request</w:t>
      </w:r>
      <w:r>
        <w:rPr>
          <w:rStyle w:val="normaltextrun"/>
          <w:rFonts w:ascii="Arial" w:hAnsi="Arial" w:cs="Arial"/>
          <w:color w:val="000000" w:themeColor="text1"/>
        </w:rPr>
        <w:t>.</w:t>
      </w:r>
    </w:p>
    <w:p w14:paraId="1839A5C6" w14:textId="76995A38" w:rsidR="00772704" w:rsidRDefault="00772704" w:rsidP="00A53F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F0380D" w14:textId="5E77F17A" w:rsidR="006C3854" w:rsidRPr="002F28D4" w:rsidRDefault="006C3854" w:rsidP="002F28D4">
      <w:pPr>
        <w:spacing w:after="16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2F28D4">
        <w:rPr>
          <w:rFonts w:ascii="Arial" w:eastAsia="Arial" w:hAnsi="Arial" w:cs="Arial"/>
          <w:b/>
          <w:bCs/>
          <w:sz w:val="24"/>
          <w:szCs w:val="24"/>
        </w:rPr>
        <w:t>Confirm which principle(s) the exemption request applies: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2F28D4" w14:paraId="238FDF22" w14:textId="77777777" w:rsidTr="00BD5CDA">
        <w:trPr>
          <w:trHeight w:val="586"/>
        </w:trPr>
        <w:tc>
          <w:tcPr>
            <w:tcW w:w="8217" w:type="dxa"/>
          </w:tcPr>
          <w:p w14:paraId="0B209D27" w14:textId="10680819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F28D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Principle 1: The minimum number of students on modules contained within the course structure will be met.</w:t>
            </w:r>
          </w:p>
        </w:tc>
        <w:tc>
          <w:tcPr>
            <w:tcW w:w="1134" w:type="dxa"/>
            <w:vAlign w:val="center"/>
          </w:tcPr>
          <w:p w14:paraId="6B9739C3" w14:textId="5E560E21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50E96F98" w14:textId="77777777" w:rsidTr="00012651">
        <w:tc>
          <w:tcPr>
            <w:tcW w:w="8217" w:type="dxa"/>
          </w:tcPr>
          <w:p w14:paraId="113A8F88" w14:textId="16794DA5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Principle 2: Students should study no more than four modules per level, with a minimum of 20 credits per module. </w:t>
            </w:r>
          </w:p>
        </w:tc>
        <w:tc>
          <w:tcPr>
            <w:tcW w:w="1134" w:type="dxa"/>
            <w:vAlign w:val="center"/>
          </w:tcPr>
          <w:p w14:paraId="0EA0FBD2" w14:textId="1E89748A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38575431" w14:textId="77777777" w:rsidTr="00073810">
        <w:tc>
          <w:tcPr>
            <w:tcW w:w="8217" w:type="dxa"/>
          </w:tcPr>
          <w:p w14:paraId="4E1039CC" w14:textId="575E9037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  <w:t>Principle 3: Each student will complete one module at levels 4 and 5, which directly prepares them for graduate-level employment and/or enterprise.</w:t>
            </w:r>
          </w:p>
        </w:tc>
        <w:tc>
          <w:tcPr>
            <w:tcW w:w="1134" w:type="dxa"/>
            <w:vAlign w:val="center"/>
          </w:tcPr>
          <w:p w14:paraId="5F862571" w14:textId="74FE7096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15CDB93F" w14:textId="77777777" w:rsidTr="003057D1">
        <w:tc>
          <w:tcPr>
            <w:tcW w:w="8217" w:type="dxa"/>
          </w:tcPr>
          <w:p w14:paraId="01A9743A" w14:textId="54E60F05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  <w:t>Principle 4: Resilient staffing plans for each module must embed a team-teaching approach. This includes robust staffing contingency planning to ensure the sustainability and quality of delivery.</w:t>
            </w:r>
          </w:p>
        </w:tc>
        <w:tc>
          <w:tcPr>
            <w:tcW w:w="1134" w:type="dxa"/>
            <w:vAlign w:val="center"/>
          </w:tcPr>
          <w:p w14:paraId="5CDC985B" w14:textId="22DC951E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554535F7" w14:textId="77777777" w:rsidTr="00875F20">
        <w:tc>
          <w:tcPr>
            <w:tcW w:w="8217" w:type="dxa"/>
          </w:tcPr>
          <w:p w14:paraId="0176E921" w14:textId="33F3C645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Principle 5: Where appropriate, curriculum design should embrace a </w:t>
            </w:r>
            <w:r w:rsidRPr="002F28D4"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  <w:t>cross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-University approach to course delivery.</w:t>
            </w:r>
          </w:p>
        </w:tc>
        <w:tc>
          <w:tcPr>
            <w:tcW w:w="1134" w:type="dxa"/>
            <w:vAlign w:val="center"/>
          </w:tcPr>
          <w:p w14:paraId="49DA42E5" w14:textId="27AB616D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296BC598" w14:textId="77777777" w:rsidTr="00A26660">
        <w:tc>
          <w:tcPr>
            <w:tcW w:w="8217" w:type="dxa"/>
          </w:tcPr>
          <w:p w14:paraId="3C814BDB" w14:textId="12E92130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Principle 6: Lean assessment strategies must be embedded which avoid the bunching of assessments during key periods and remove the use of compound assessments (elements). Bespoke assessment strategies will enhance academic integrity.</w:t>
            </w:r>
          </w:p>
        </w:tc>
        <w:tc>
          <w:tcPr>
            <w:tcW w:w="1134" w:type="dxa"/>
            <w:vAlign w:val="center"/>
          </w:tcPr>
          <w:p w14:paraId="4747D2B8" w14:textId="4E22A3C0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31AC9B66" w14:textId="77777777" w:rsidTr="007D3F83">
        <w:tc>
          <w:tcPr>
            <w:tcW w:w="8217" w:type="dxa"/>
          </w:tcPr>
          <w:p w14:paraId="228FDD5F" w14:textId="37E3D45E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Principle 7: Implicit pre- and co-requisites in teaching delivery must be avoided.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42C4701" w14:textId="509520D1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220B85D7" w14:textId="77777777" w:rsidTr="00DD575B">
        <w:tc>
          <w:tcPr>
            <w:tcW w:w="8217" w:type="dxa"/>
          </w:tcPr>
          <w:p w14:paraId="00F9F241" w14:textId="0004FCAB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Principle 8: Early re-assessment opportunities must be prioritised.</w:t>
            </w:r>
          </w:p>
        </w:tc>
        <w:tc>
          <w:tcPr>
            <w:tcW w:w="1134" w:type="dxa"/>
            <w:vAlign w:val="center"/>
          </w:tcPr>
          <w:p w14:paraId="0FCF62BC" w14:textId="0047DAB9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2F28D4" w14:paraId="5BBE5059" w14:textId="77777777" w:rsidTr="00B40460">
        <w:tc>
          <w:tcPr>
            <w:tcW w:w="8217" w:type="dxa"/>
          </w:tcPr>
          <w:p w14:paraId="4FF23B54" w14:textId="79BF79FD" w:rsidR="002F28D4" w:rsidRPr="002F28D4" w:rsidRDefault="002F28D4" w:rsidP="002F28D4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Principle 9: </w:t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  <w:t>Optional modules will be permitted at level 6 only. Optional modules may be standalone or an existing core module.</w:t>
            </w:r>
          </w:p>
        </w:tc>
        <w:tc>
          <w:tcPr>
            <w:tcW w:w="1134" w:type="dxa"/>
            <w:vAlign w:val="center"/>
          </w:tcPr>
          <w:p w14:paraId="1ADAECE2" w14:textId="10528688" w:rsidR="002F28D4" w:rsidRDefault="002F28D4" w:rsidP="002F28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3A40">
              <w:rPr>
                <w:rStyle w:val="normaltextrun"/>
                <w:rFonts w:ascii="Segoe UI Symbol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</w:tr>
    </w:tbl>
    <w:p w14:paraId="49551F7D" w14:textId="77777777" w:rsidR="006C3854" w:rsidRPr="003B3A40" w:rsidRDefault="006C3854" w:rsidP="00A53F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16D777" w14:textId="77777777" w:rsidR="00F96358" w:rsidRDefault="00F9635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22EFC1D9" w14:textId="37E9EC31" w:rsidR="00A208E6" w:rsidRPr="003B3A40" w:rsidRDefault="00451038" w:rsidP="00A208E6">
      <w:pPr>
        <w:spacing w:after="16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3B3A40">
        <w:rPr>
          <w:rFonts w:ascii="Arial" w:eastAsia="Arial" w:hAnsi="Arial" w:cs="Arial"/>
          <w:b/>
          <w:bCs/>
          <w:sz w:val="24"/>
          <w:szCs w:val="24"/>
        </w:rPr>
        <w:lastRenderedPageBreak/>
        <w:t>Rationale</w:t>
      </w:r>
      <w:r w:rsidR="00A208E6" w:rsidRPr="003B3A4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69D7" w:rsidRPr="003B3A40" w14:paraId="4B816E1E" w14:textId="77777777" w:rsidTr="002D3AB3">
        <w:trPr>
          <w:trHeight w:val="692"/>
        </w:trPr>
        <w:tc>
          <w:tcPr>
            <w:tcW w:w="9351" w:type="dxa"/>
            <w:vAlign w:val="center"/>
          </w:tcPr>
          <w:p w14:paraId="42D6F4FD" w14:textId="5113BB54" w:rsidR="001969D7" w:rsidRPr="006C7EE8" w:rsidRDefault="00EE3DC2" w:rsidP="002D3AB3">
            <w:pPr>
              <w:rPr>
                <w:rFonts w:ascii="Arial" w:eastAsia="Arial" w:hAnsi="Arial" w:cs="Arial"/>
              </w:rPr>
            </w:pPr>
            <w:r w:rsidRPr="006C7EE8">
              <w:rPr>
                <w:rFonts w:ascii="Arial" w:eastAsia="Arial" w:hAnsi="Arial" w:cs="Arial"/>
              </w:rPr>
              <w:t xml:space="preserve">Please provide a brief </w:t>
            </w:r>
            <w:r w:rsidR="00417125" w:rsidRPr="006C7EE8">
              <w:rPr>
                <w:rFonts w:ascii="Arial" w:eastAsia="Arial" w:hAnsi="Arial" w:cs="Arial"/>
              </w:rPr>
              <w:t>outline</w:t>
            </w:r>
            <w:r w:rsidR="00772704">
              <w:rPr>
                <w:rFonts w:ascii="Arial" w:eastAsia="Arial" w:hAnsi="Arial" w:cs="Arial"/>
              </w:rPr>
              <w:t xml:space="preserve"> </w:t>
            </w:r>
            <w:r w:rsidRPr="006C7EE8">
              <w:rPr>
                <w:rFonts w:ascii="Arial" w:eastAsia="Arial" w:hAnsi="Arial" w:cs="Arial"/>
              </w:rPr>
              <w:t xml:space="preserve">and </w:t>
            </w:r>
            <w:r w:rsidR="00F12439" w:rsidRPr="006C7EE8">
              <w:rPr>
                <w:rFonts w:ascii="Arial" w:eastAsia="Arial" w:hAnsi="Arial" w:cs="Arial"/>
              </w:rPr>
              <w:t xml:space="preserve">attach </w:t>
            </w:r>
            <w:r w:rsidRPr="006C7EE8">
              <w:rPr>
                <w:rFonts w:ascii="Arial" w:eastAsia="Arial" w:hAnsi="Arial" w:cs="Arial"/>
              </w:rPr>
              <w:t>relevant evidence</w:t>
            </w:r>
            <w:r w:rsidR="004528E5" w:rsidRPr="006C7EE8">
              <w:rPr>
                <w:rFonts w:ascii="Arial" w:eastAsia="Arial" w:hAnsi="Arial" w:cs="Arial"/>
              </w:rPr>
              <w:t xml:space="preserve"> (</w:t>
            </w:r>
            <w:r w:rsidR="00C95557" w:rsidRPr="006C7EE8">
              <w:rPr>
                <w:rFonts w:ascii="Arial" w:eastAsia="Arial" w:hAnsi="Arial" w:cs="Arial"/>
              </w:rPr>
              <w:t>e.g.</w:t>
            </w:r>
            <w:r w:rsidR="00E76E29" w:rsidRPr="006C7EE8">
              <w:rPr>
                <w:rFonts w:ascii="Arial" w:eastAsia="Arial" w:hAnsi="Arial" w:cs="Arial"/>
              </w:rPr>
              <w:t>,</w:t>
            </w:r>
            <w:r w:rsidR="00C95557" w:rsidRPr="006C7EE8">
              <w:rPr>
                <w:rFonts w:ascii="Arial" w:eastAsia="Arial" w:hAnsi="Arial" w:cs="Arial"/>
              </w:rPr>
              <w:t xml:space="preserve"> for PSRB/apprenticeship standard or exceptional circumstances exemption</w:t>
            </w:r>
            <w:r w:rsidR="004528E5" w:rsidRPr="006C7EE8">
              <w:rPr>
                <w:rFonts w:ascii="Arial" w:eastAsia="Arial" w:hAnsi="Arial" w:cs="Arial"/>
              </w:rPr>
              <w:t>)</w:t>
            </w:r>
            <w:r w:rsidRPr="006C7EE8">
              <w:rPr>
                <w:rFonts w:ascii="Arial" w:eastAsia="Arial" w:hAnsi="Arial" w:cs="Arial"/>
              </w:rPr>
              <w:t xml:space="preserve">, to </w:t>
            </w:r>
            <w:r w:rsidR="002A7661" w:rsidRPr="006C7EE8">
              <w:rPr>
                <w:rFonts w:ascii="Arial" w:eastAsia="Arial" w:hAnsi="Arial" w:cs="Arial"/>
              </w:rPr>
              <w:t>explain the rationale for</w:t>
            </w:r>
            <w:r w:rsidR="005F787F" w:rsidRPr="006C7EE8">
              <w:rPr>
                <w:rFonts w:ascii="Arial" w:eastAsia="Arial" w:hAnsi="Arial" w:cs="Arial"/>
              </w:rPr>
              <w:t xml:space="preserve"> </w:t>
            </w:r>
            <w:r w:rsidRPr="006C7EE8">
              <w:rPr>
                <w:rFonts w:ascii="Arial" w:eastAsia="Arial" w:hAnsi="Arial" w:cs="Arial"/>
              </w:rPr>
              <w:t xml:space="preserve">the </w:t>
            </w:r>
            <w:r w:rsidR="006A63A8" w:rsidRPr="006C7EE8">
              <w:rPr>
                <w:rFonts w:ascii="Arial" w:eastAsia="Arial" w:hAnsi="Arial" w:cs="Arial"/>
              </w:rPr>
              <w:t>above</w:t>
            </w:r>
            <w:r w:rsidR="00C413D5" w:rsidRPr="006C7EE8">
              <w:rPr>
                <w:rFonts w:ascii="Arial" w:eastAsia="Arial" w:hAnsi="Arial" w:cs="Arial"/>
              </w:rPr>
              <w:t xml:space="preserve"> </w:t>
            </w:r>
            <w:r w:rsidRPr="006C7EE8">
              <w:rPr>
                <w:rFonts w:ascii="Arial" w:eastAsia="Arial" w:hAnsi="Arial" w:cs="Arial"/>
              </w:rPr>
              <w:t>course</w:t>
            </w:r>
            <w:r w:rsidR="00C413D5" w:rsidRPr="006C7EE8">
              <w:rPr>
                <w:rFonts w:ascii="Arial" w:eastAsia="Arial" w:hAnsi="Arial" w:cs="Arial"/>
              </w:rPr>
              <w:t>(s)</w:t>
            </w:r>
            <w:r w:rsidR="00451E57" w:rsidRPr="006C7EE8">
              <w:rPr>
                <w:rFonts w:ascii="Arial" w:eastAsia="Arial" w:hAnsi="Arial" w:cs="Arial"/>
              </w:rPr>
              <w:t xml:space="preserve"> </w:t>
            </w:r>
            <w:r w:rsidRPr="006C7EE8">
              <w:rPr>
                <w:rFonts w:ascii="Arial" w:eastAsia="Arial" w:hAnsi="Arial" w:cs="Arial"/>
              </w:rPr>
              <w:t>exempt</w:t>
            </w:r>
            <w:r w:rsidR="002A7661" w:rsidRPr="006C7EE8">
              <w:rPr>
                <w:rFonts w:ascii="Arial" w:eastAsia="Arial" w:hAnsi="Arial" w:cs="Arial"/>
              </w:rPr>
              <w:t>ion</w:t>
            </w:r>
            <w:r w:rsidRPr="006C7EE8">
              <w:rPr>
                <w:rFonts w:ascii="Arial" w:eastAsia="Arial" w:hAnsi="Arial" w:cs="Arial"/>
              </w:rPr>
              <w:t xml:space="preserve"> from align</w:t>
            </w:r>
            <w:r w:rsidR="00ED54ED" w:rsidRPr="006C7EE8">
              <w:rPr>
                <w:rFonts w:ascii="Arial" w:eastAsia="Arial" w:hAnsi="Arial" w:cs="Arial"/>
              </w:rPr>
              <w:t>ment</w:t>
            </w:r>
            <w:r w:rsidRPr="006C7EE8">
              <w:rPr>
                <w:rFonts w:ascii="Arial" w:eastAsia="Arial" w:hAnsi="Arial" w:cs="Arial"/>
              </w:rPr>
              <w:t xml:space="preserve"> with the Principles of Academic Delivery</w:t>
            </w:r>
            <w:r w:rsidR="00772704">
              <w:rPr>
                <w:rFonts w:ascii="Arial" w:eastAsia="Arial" w:hAnsi="Arial" w:cs="Arial"/>
              </w:rPr>
              <w:t xml:space="preserve">.  </w:t>
            </w:r>
          </w:p>
        </w:tc>
      </w:tr>
      <w:tr w:rsidR="00EE3DC2" w:rsidRPr="003B3A40" w14:paraId="75D5A5E1" w14:textId="77777777" w:rsidTr="00ED54ED">
        <w:trPr>
          <w:trHeight w:val="830"/>
        </w:trPr>
        <w:tc>
          <w:tcPr>
            <w:tcW w:w="9351" w:type="dxa"/>
          </w:tcPr>
          <w:p w14:paraId="4583F00E" w14:textId="77777777" w:rsidR="00EE3DC2" w:rsidRPr="003B3A40" w:rsidRDefault="00EE3DC2" w:rsidP="00EE3DC2">
            <w:pPr>
              <w:rPr>
                <w:rFonts w:ascii="Arial" w:hAnsi="Arial" w:cs="Arial"/>
              </w:rPr>
            </w:pPr>
          </w:p>
          <w:p w14:paraId="430CDD0B" w14:textId="77777777" w:rsidR="00A30B93" w:rsidRDefault="00A30B93" w:rsidP="00EE3DC2">
            <w:pPr>
              <w:rPr>
                <w:rFonts w:ascii="Arial" w:hAnsi="Arial" w:cs="Arial"/>
              </w:rPr>
            </w:pPr>
          </w:p>
          <w:p w14:paraId="1FF4AFBE" w14:textId="35E28A47" w:rsidR="00A30B93" w:rsidRDefault="00A30B93" w:rsidP="00EE3DC2">
            <w:pPr>
              <w:rPr>
                <w:rFonts w:ascii="Arial" w:hAnsi="Arial" w:cs="Arial"/>
              </w:rPr>
            </w:pPr>
          </w:p>
          <w:p w14:paraId="4EDF9DC2" w14:textId="73B3FEC1" w:rsidR="00E412F6" w:rsidRDefault="00E412F6" w:rsidP="00EE3DC2"/>
          <w:p w14:paraId="5B4125CD" w14:textId="77777777" w:rsidR="00E412F6" w:rsidRDefault="00E412F6" w:rsidP="00EE3DC2">
            <w:pPr>
              <w:rPr>
                <w:rFonts w:ascii="Arial" w:hAnsi="Arial" w:cs="Arial"/>
              </w:rPr>
            </w:pPr>
          </w:p>
          <w:p w14:paraId="62ED632C" w14:textId="77777777" w:rsidR="00A30B93" w:rsidRDefault="00A30B93" w:rsidP="00EE3DC2">
            <w:pPr>
              <w:rPr>
                <w:rFonts w:ascii="Arial" w:hAnsi="Arial" w:cs="Arial"/>
              </w:rPr>
            </w:pPr>
          </w:p>
          <w:p w14:paraId="1F6AF91A" w14:textId="77777777" w:rsidR="00A30B93" w:rsidRDefault="00A30B93" w:rsidP="00EE3DC2">
            <w:pPr>
              <w:rPr>
                <w:rFonts w:ascii="Arial" w:hAnsi="Arial" w:cs="Arial"/>
              </w:rPr>
            </w:pPr>
          </w:p>
          <w:p w14:paraId="563D3E81" w14:textId="77777777" w:rsidR="00A30B93" w:rsidRDefault="00A30B93" w:rsidP="00EE3DC2">
            <w:pPr>
              <w:rPr>
                <w:rFonts w:ascii="Arial" w:hAnsi="Arial" w:cs="Arial"/>
              </w:rPr>
            </w:pPr>
          </w:p>
          <w:p w14:paraId="4B040F8E" w14:textId="5F88D8DE" w:rsidR="00A30B93" w:rsidRPr="003B3A40" w:rsidRDefault="00A30B93" w:rsidP="00EE3DC2">
            <w:pPr>
              <w:rPr>
                <w:rFonts w:ascii="Arial" w:hAnsi="Arial" w:cs="Arial"/>
              </w:rPr>
            </w:pPr>
          </w:p>
        </w:tc>
      </w:tr>
    </w:tbl>
    <w:p w14:paraId="03E29211" w14:textId="260A49A7" w:rsidR="00772704" w:rsidRDefault="00772704" w:rsidP="008469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81313D" w14:textId="3D683E9C" w:rsidR="002F28D4" w:rsidRDefault="002F28D4" w:rsidP="002F28D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03CB9">
        <w:rPr>
          <w:rFonts w:ascii="Arial" w:hAnsi="Arial" w:cs="Arial"/>
          <w:b/>
          <w:bCs/>
          <w:sz w:val="24"/>
          <w:szCs w:val="24"/>
        </w:rPr>
        <w:t xml:space="preserve">Please return all completed forms to the Student Learning </w:t>
      </w:r>
      <w:r w:rsidR="00545062">
        <w:rPr>
          <w:rFonts w:ascii="Arial" w:hAnsi="Arial" w:cs="Arial"/>
          <w:b/>
          <w:bCs/>
          <w:sz w:val="24"/>
          <w:szCs w:val="24"/>
        </w:rPr>
        <w:t>&amp;</w:t>
      </w:r>
      <w:r w:rsidRPr="00903CB9">
        <w:rPr>
          <w:rFonts w:ascii="Arial" w:hAnsi="Arial" w:cs="Arial"/>
          <w:b/>
          <w:bCs/>
          <w:sz w:val="24"/>
          <w:szCs w:val="24"/>
        </w:rPr>
        <w:t xml:space="preserve"> Academic Registry at </w:t>
      </w:r>
      <w:hyperlink r:id="rId15" w:history="1">
        <w:r w:rsidRPr="00903CB9">
          <w:rPr>
            <w:rFonts w:ascii="Arial" w:hAnsi="Arial" w:cs="Arial"/>
            <w:b/>
            <w:bCs/>
            <w:color w:val="0070C0"/>
            <w:sz w:val="24"/>
            <w:szCs w:val="24"/>
          </w:rPr>
          <w:t>QAV@tees.ac.uk</w:t>
        </w:r>
      </w:hyperlink>
      <w:r w:rsidRPr="00903CB9">
        <w:rPr>
          <w:rFonts w:ascii="Arial" w:hAnsi="Arial" w:cs="Arial"/>
          <w:sz w:val="24"/>
          <w:szCs w:val="24"/>
        </w:rPr>
        <w:t xml:space="preserve">  </w:t>
      </w:r>
    </w:p>
    <w:p w14:paraId="237CB81A" w14:textId="77777777" w:rsidR="002F28D4" w:rsidRPr="003B3A40" w:rsidRDefault="002F28D4" w:rsidP="008469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3061"/>
        <w:gridCol w:w="1554"/>
        <w:gridCol w:w="4569"/>
      </w:tblGrid>
      <w:tr w:rsidR="00EE3DC2" w:rsidRPr="003B3A40" w14:paraId="33860B2C" w14:textId="77777777" w:rsidTr="00160418">
        <w:trPr>
          <w:trHeight w:val="359"/>
        </w:trPr>
        <w:tc>
          <w:tcPr>
            <w:tcW w:w="3061" w:type="dxa"/>
            <w:vMerge w:val="restart"/>
          </w:tcPr>
          <w:p w14:paraId="36D40271" w14:textId="63BB104C" w:rsidR="00EE3DC2" w:rsidRPr="003B3A40" w:rsidRDefault="002F28D4" w:rsidP="00160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Associate Dean, Learning and Teaching</w:t>
            </w:r>
            <w:r w:rsidR="009B7012" w:rsidRPr="003B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7012" w:rsidRPr="003B3A40">
              <w:rPr>
                <w:rFonts w:ascii="Arial" w:hAnsi="Arial" w:cs="Arial"/>
                <w:bCs/>
                <w:sz w:val="24"/>
                <w:szCs w:val="24"/>
              </w:rPr>
              <w:t>(or nominee)</w:t>
            </w:r>
          </w:p>
        </w:tc>
        <w:tc>
          <w:tcPr>
            <w:tcW w:w="1554" w:type="dxa"/>
            <w:tcBorders>
              <w:bottom w:val="nil"/>
              <w:right w:val="nil"/>
            </w:tcBorders>
          </w:tcPr>
          <w:p w14:paraId="7E6E8BA7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  <w:r w:rsidRPr="003B3A40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569" w:type="dxa"/>
            <w:tcBorders>
              <w:left w:val="nil"/>
              <w:bottom w:val="dotted" w:sz="4" w:space="0" w:color="auto"/>
            </w:tcBorders>
          </w:tcPr>
          <w:p w14:paraId="71F0875E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DC2" w:rsidRPr="003B3A40" w14:paraId="49D40A3B" w14:textId="77777777" w:rsidTr="00160418">
        <w:trPr>
          <w:trHeight w:val="359"/>
        </w:trPr>
        <w:tc>
          <w:tcPr>
            <w:tcW w:w="3061" w:type="dxa"/>
            <w:vMerge/>
          </w:tcPr>
          <w:p w14:paraId="386771B9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73829EC5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  <w:r w:rsidRPr="003B3A4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6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11E03A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DC2" w:rsidRPr="003B3A40" w14:paraId="2966CE5D" w14:textId="77777777" w:rsidTr="00160418">
        <w:trPr>
          <w:trHeight w:val="359"/>
        </w:trPr>
        <w:tc>
          <w:tcPr>
            <w:tcW w:w="3061" w:type="dxa"/>
            <w:vMerge/>
          </w:tcPr>
          <w:p w14:paraId="66994855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2178C8FC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  <w:r w:rsidRPr="003B3A4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6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C338CD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DC2" w:rsidRPr="003B3A40" w14:paraId="1F45FD61" w14:textId="77777777" w:rsidTr="00160418">
        <w:trPr>
          <w:trHeight w:val="115"/>
        </w:trPr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6807A0F9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  <w:right w:val="nil"/>
            </w:tcBorders>
          </w:tcPr>
          <w:p w14:paraId="07B74C79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DFD7388" w14:textId="77777777" w:rsidR="00EE3DC2" w:rsidRPr="003B3A40" w:rsidRDefault="00EE3DC2" w:rsidP="00160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C9483" w14:textId="77777777" w:rsidR="00903CB9" w:rsidRPr="00903CB9" w:rsidRDefault="00903CB9" w:rsidP="00903C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09F0E" w14:textId="02CCFCF2" w:rsidR="00CE5F3C" w:rsidRPr="003B3A40" w:rsidRDefault="00CE5F3C" w:rsidP="00CE5F3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3B3A40">
        <w:rPr>
          <w:rFonts w:ascii="Arial" w:hAnsi="Arial" w:cs="Arial"/>
          <w:b/>
          <w:sz w:val="24"/>
          <w:szCs w:val="24"/>
        </w:rPr>
        <w:t>For Student Learning &amp; Academic Registry (QAV) use only:</w:t>
      </w:r>
    </w:p>
    <w:p w14:paraId="4D32D460" w14:textId="77777777" w:rsidR="00EB43E1" w:rsidRPr="00410AD2" w:rsidRDefault="00EB43E1" w:rsidP="00CE5F3C">
      <w:pPr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CE5F3C" w:rsidRPr="003B3A40" w14:paraId="2A821253" w14:textId="77777777" w:rsidTr="00D96459">
        <w:trPr>
          <w:trHeight w:val="432"/>
        </w:trPr>
        <w:tc>
          <w:tcPr>
            <w:tcW w:w="5954" w:type="dxa"/>
            <w:shd w:val="clear" w:color="auto" w:fill="FBE4D5"/>
            <w:vAlign w:val="center"/>
          </w:tcPr>
          <w:p w14:paraId="5E6266C7" w14:textId="0CCCD963" w:rsidR="00CE5F3C" w:rsidRPr="003B3A40" w:rsidRDefault="00F96358" w:rsidP="000149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a</w:t>
            </w:r>
            <w:r w:rsidR="00E412F6">
              <w:rPr>
                <w:rFonts w:ascii="Arial" w:hAnsi="Arial" w:cs="Arial"/>
                <w:b/>
                <w:sz w:val="24"/>
                <w:szCs w:val="24"/>
              </w:rPr>
              <w:t>vailable within File of Evidence: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DBFC1" w14:textId="77777777" w:rsidR="00CE5F3C" w:rsidRPr="003B3A40" w:rsidRDefault="00CE5F3C" w:rsidP="000149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D73A1" w14:textId="77777777" w:rsidR="00CE5F3C" w:rsidRPr="003B3A40" w:rsidRDefault="00CE5F3C" w:rsidP="00F256BC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4"/>
          <w:szCs w:val="24"/>
        </w:rPr>
      </w:pPr>
    </w:p>
    <w:sectPr w:rsidR="00CE5F3C" w:rsidRPr="003B3A40" w:rsidSect="0054506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440" w:bottom="1440" w:left="1440" w:header="93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980C" w14:textId="77777777" w:rsidR="00EC447D" w:rsidRDefault="00EC447D" w:rsidP="00A53F03">
      <w:pPr>
        <w:spacing w:after="0" w:line="240" w:lineRule="auto"/>
      </w:pPr>
      <w:r>
        <w:separator/>
      </w:r>
    </w:p>
  </w:endnote>
  <w:endnote w:type="continuationSeparator" w:id="0">
    <w:p w14:paraId="265E4BF6" w14:textId="77777777" w:rsidR="00EC447D" w:rsidRDefault="00EC447D" w:rsidP="00A53F03">
      <w:pPr>
        <w:spacing w:after="0" w:line="240" w:lineRule="auto"/>
      </w:pPr>
      <w:r>
        <w:continuationSeparator/>
      </w:r>
    </w:p>
  </w:endnote>
  <w:endnote w:type="continuationNotice" w:id="1">
    <w:p w14:paraId="0F40463B" w14:textId="77777777" w:rsidR="00EC447D" w:rsidRDefault="00EC4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9811" w14:textId="77777777" w:rsidR="00604BE4" w:rsidRPr="00604BE4" w:rsidRDefault="00604BE4" w:rsidP="00F40E78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604BE4">
      <w:rPr>
        <w:rFonts w:ascii="Arial" w:hAnsi="Arial" w:cs="Arial"/>
        <w:sz w:val="20"/>
        <w:szCs w:val="20"/>
      </w:rPr>
      <w:fldChar w:fldCharType="begin"/>
    </w:r>
    <w:r w:rsidRPr="00604BE4">
      <w:rPr>
        <w:rFonts w:ascii="Arial" w:hAnsi="Arial" w:cs="Arial"/>
        <w:sz w:val="20"/>
        <w:szCs w:val="20"/>
      </w:rPr>
      <w:instrText xml:space="preserve"> PAGE   \* MERGEFORMAT </w:instrText>
    </w:r>
    <w:r w:rsidRPr="00604BE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04BE4">
      <w:rPr>
        <w:rFonts w:ascii="Arial" w:hAnsi="Arial" w:cs="Arial"/>
        <w:noProof/>
        <w:sz w:val="20"/>
        <w:szCs w:val="20"/>
      </w:rPr>
      <w:fldChar w:fldCharType="end"/>
    </w:r>
    <w:r w:rsidRPr="00604BE4">
      <w:rPr>
        <w:rFonts w:ascii="Arial" w:hAnsi="Arial" w:cs="Arial"/>
        <w:sz w:val="20"/>
        <w:szCs w:val="20"/>
      </w:rPr>
      <w:t xml:space="preserve"> | </w:t>
    </w:r>
    <w:r w:rsidRPr="00F40E78">
      <w:rPr>
        <w:rFonts w:ascii="Arial" w:hAnsi="Arial" w:cs="Arial"/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8839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DA3B5CC" w14:textId="77777777" w:rsidR="00545062" w:rsidRPr="00EB43E1" w:rsidRDefault="00545062" w:rsidP="0054506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B43E1">
          <w:rPr>
            <w:rFonts w:ascii="Arial" w:hAnsi="Arial" w:cs="Arial"/>
            <w:sz w:val="20"/>
            <w:szCs w:val="20"/>
          </w:rPr>
          <w:fldChar w:fldCharType="begin"/>
        </w:r>
        <w:r w:rsidRPr="00EB43E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B43E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EB43E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823438" w14:textId="77777777" w:rsidR="00545062" w:rsidRPr="00EB43E1" w:rsidRDefault="00545062" w:rsidP="00545062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Quality Framework Chapter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0953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EFB9749" w14:textId="3AAA24AC" w:rsidR="00EB43E1" w:rsidRPr="00EB43E1" w:rsidRDefault="00EB43E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B43E1">
          <w:rPr>
            <w:rFonts w:ascii="Arial" w:hAnsi="Arial" w:cs="Arial"/>
            <w:sz w:val="20"/>
            <w:szCs w:val="20"/>
          </w:rPr>
          <w:fldChar w:fldCharType="begin"/>
        </w:r>
        <w:r w:rsidRPr="00EB43E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B43E1">
          <w:rPr>
            <w:rFonts w:ascii="Arial" w:hAnsi="Arial" w:cs="Arial"/>
            <w:sz w:val="20"/>
            <w:szCs w:val="20"/>
          </w:rPr>
          <w:fldChar w:fldCharType="separate"/>
        </w:r>
        <w:r w:rsidRPr="00EB43E1">
          <w:rPr>
            <w:rFonts w:ascii="Arial" w:hAnsi="Arial" w:cs="Arial"/>
            <w:noProof/>
            <w:sz w:val="20"/>
            <w:szCs w:val="20"/>
          </w:rPr>
          <w:t>2</w:t>
        </w:r>
        <w:r w:rsidRPr="00EB43E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4C3CFCF" w14:textId="58F9C4D3" w:rsidR="00290C86" w:rsidRPr="00EB43E1" w:rsidRDefault="00EB43E1" w:rsidP="00EB43E1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Quality Framework Chapter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47D5" w14:textId="77777777" w:rsidR="00EC447D" w:rsidRDefault="00EC447D" w:rsidP="00A53F03">
      <w:pPr>
        <w:spacing w:after="0" w:line="240" w:lineRule="auto"/>
      </w:pPr>
      <w:r>
        <w:separator/>
      </w:r>
    </w:p>
  </w:footnote>
  <w:footnote w:type="continuationSeparator" w:id="0">
    <w:p w14:paraId="4EB7C54C" w14:textId="77777777" w:rsidR="00EC447D" w:rsidRDefault="00EC447D" w:rsidP="00A53F03">
      <w:pPr>
        <w:spacing w:after="0" w:line="240" w:lineRule="auto"/>
      </w:pPr>
      <w:r>
        <w:continuationSeparator/>
      </w:r>
    </w:p>
  </w:footnote>
  <w:footnote w:type="continuationNotice" w:id="1">
    <w:p w14:paraId="009E0FFF" w14:textId="77777777" w:rsidR="00EC447D" w:rsidRDefault="00EC4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FAF" w14:textId="56CFF31E" w:rsidR="00903CB9" w:rsidRDefault="00903CB9" w:rsidP="00903CB9">
    <w:pPr>
      <w:tabs>
        <w:tab w:val="center" w:pos="4513"/>
        <w:tab w:val="right" w:pos="9026"/>
      </w:tabs>
      <w:spacing w:after="120"/>
      <w:jc w:val="right"/>
    </w:pPr>
    <w:r>
      <w:rPr>
        <w:rFonts w:ascii="Arial" w:hAnsi="Arial" w:cs="Arial"/>
        <w:bCs/>
        <w:noProof/>
        <w:lang w:eastAsia="en-GB"/>
      </w:rPr>
      <w:t>C-Appendix 6a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8812" w14:textId="66579ABF" w:rsidR="0032076F" w:rsidRPr="00410AD2" w:rsidRDefault="0032076F" w:rsidP="00410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3D92" w14:textId="096EF40D" w:rsidR="00EF788C" w:rsidRPr="00EF788C" w:rsidRDefault="00EF788C" w:rsidP="00EF788C">
    <w:pPr>
      <w:tabs>
        <w:tab w:val="center" w:pos="4513"/>
        <w:tab w:val="right" w:pos="9026"/>
      </w:tabs>
      <w:spacing w:after="120"/>
      <w:jc w:val="right"/>
      <w:rPr>
        <w:rFonts w:ascii="Arial" w:hAnsi="Arial" w:cs="Arial"/>
        <w:bCs/>
        <w:noProof/>
        <w:lang w:eastAsia="en-GB"/>
      </w:rPr>
    </w:pPr>
    <w:r>
      <w:rPr>
        <w:rFonts w:ascii="Arial" w:hAnsi="Arial" w:cs="Arial"/>
        <w:bCs/>
        <w:noProof/>
        <w:lang w:eastAsia="en-GB"/>
      </w:rPr>
      <w:t>C-Appendix 6a</w:t>
    </w:r>
  </w:p>
  <w:p w14:paraId="533BBCAB" w14:textId="77777777" w:rsidR="00BB7E15" w:rsidRDefault="00BB7E15"/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A07"/>
    <w:multiLevelType w:val="multilevel"/>
    <w:tmpl w:val="949E0E5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355E0"/>
    <w:multiLevelType w:val="hybridMultilevel"/>
    <w:tmpl w:val="966C2D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695FEF"/>
    <w:multiLevelType w:val="multilevel"/>
    <w:tmpl w:val="6D04903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eastAsiaTheme="majorEastAsia" w:hAnsi="Arial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4434DF"/>
    <w:multiLevelType w:val="hybridMultilevel"/>
    <w:tmpl w:val="1DF48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A1C25"/>
    <w:multiLevelType w:val="multilevel"/>
    <w:tmpl w:val="E76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4239E"/>
    <w:multiLevelType w:val="hybridMultilevel"/>
    <w:tmpl w:val="4D66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475A"/>
    <w:multiLevelType w:val="hybridMultilevel"/>
    <w:tmpl w:val="0D4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208B"/>
    <w:multiLevelType w:val="hybridMultilevel"/>
    <w:tmpl w:val="8E68A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D0559"/>
    <w:multiLevelType w:val="multilevel"/>
    <w:tmpl w:val="949E0E5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4D6DD6"/>
    <w:multiLevelType w:val="hybridMultilevel"/>
    <w:tmpl w:val="EEB2C4F2"/>
    <w:lvl w:ilvl="0" w:tplc="13EA51A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AD8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A14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C0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815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C47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857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639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E3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EE2DFF"/>
    <w:multiLevelType w:val="hybridMultilevel"/>
    <w:tmpl w:val="8BF6F898"/>
    <w:lvl w:ilvl="0" w:tplc="44086A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290"/>
    <w:multiLevelType w:val="hybridMultilevel"/>
    <w:tmpl w:val="A0FA3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9526D"/>
    <w:multiLevelType w:val="hybridMultilevel"/>
    <w:tmpl w:val="8E68A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A79A4"/>
    <w:multiLevelType w:val="multilevel"/>
    <w:tmpl w:val="9310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960A26"/>
    <w:multiLevelType w:val="hybridMultilevel"/>
    <w:tmpl w:val="2EEA5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87379"/>
    <w:multiLevelType w:val="hybridMultilevel"/>
    <w:tmpl w:val="CD8C25F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81228"/>
    <w:multiLevelType w:val="hybridMultilevel"/>
    <w:tmpl w:val="8EBE7A86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513225426">
    <w:abstractNumId w:val="7"/>
  </w:num>
  <w:num w:numId="2" w16cid:durableId="332952240">
    <w:abstractNumId w:val="9"/>
  </w:num>
  <w:num w:numId="3" w16cid:durableId="1875313862">
    <w:abstractNumId w:val="2"/>
  </w:num>
  <w:num w:numId="4" w16cid:durableId="638848452">
    <w:abstractNumId w:val="5"/>
  </w:num>
  <w:num w:numId="5" w16cid:durableId="1894386717">
    <w:abstractNumId w:val="1"/>
  </w:num>
  <w:num w:numId="6" w16cid:durableId="782650509">
    <w:abstractNumId w:val="8"/>
  </w:num>
  <w:num w:numId="7" w16cid:durableId="697776477">
    <w:abstractNumId w:val="0"/>
  </w:num>
  <w:num w:numId="8" w16cid:durableId="215821035">
    <w:abstractNumId w:val="15"/>
  </w:num>
  <w:num w:numId="9" w16cid:durableId="1570920362">
    <w:abstractNumId w:val="10"/>
  </w:num>
  <w:num w:numId="10" w16cid:durableId="1494031381">
    <w:abstractNumId w:val="6"/>
  </w:num>
  <w:num w:numId="11" w16cid:durableId="602686754">
    <w:abstractNumId w:val="16"/>
  </w:num>
  <w:num w:numId="12" w16cid:durableId="1143961940">
    <w:abstractNumId w:val="11"/>
  </w:num>
  <w:num w:numId="13" w16cid:durableId="1950969518">
    <w:abstractNumId w:val="14"/>
  </w:num>
  <w:num w:numId="14" w16cid:durableId="1665816878">
    <w:abstractNumId w:val="3"/>
  </w:num>
  <w:num w:numId="15" w16cid:durableId="1760058067">
    <w:abstractNumId w:val="12"/>
  </w:num>
  <w:num w:numId="16" w16cid:durableId="1314718616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0058351">
    <w:abstractNumId w:val="4"/>
  </w:num>
  <w:num w:numId="18" w16cid:durableId="78100196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3"/>
    <w:rsid w:val="000149F1"/>
    <w:rsid w:val="000159D7"/>
    <w:rsid w:val="00022747"/>
    <w:rsid w:val="00023AD6"/>
    <w:rsid w:val="00025166"/>
    <w:rsid w:val="00025696"/>
    <w:rsid w:val="00032EAD"/>
    <w:rsid w:val="000371B1"/>
    <w:rsid w:val="00040660"/>
    <w:rsid w:val="000517A6"/>
    <w:rsid w:val="000533E9"/>
    <w:rsid w:val="000545A2"/>
    <w:rsid w:val="00055398"/>
    <w:rsid w:val="000615B4"/>
    <w:rsid w:val="00061F47"/>
    <w:rsid w:val="000626E6"/>
    <w:rsid w:val="0007131B"/>
    <w:rsid w:val="00082A82"/>
    <w:rsid w:val="00084DAA"/>
    <w:rsid w:val="00087517"/>
    <w:rsid w:val="000A14AB"/>
    <w:rsid w:val="000A2280"/>
    <w:rsid w:val="000A5413"/>
    <w:rsid w:val="000A64A4"/>
    <w:rsid w:val="000A6DC6"/>
    <w:rsid w:val="000B1850"/>
    <w:rsid w:val="000B4407"/>
    <w:rsid w:val="000C2E06"/>
    <w:rsid w:val="000C49F4"/>
    <w:rsid w:val="000C57FF"/>
    <w:rsid w:val="000D65AE"/>
    <w:rsid w:val="000E4A02"/>
    <w:rsid w:val="000E5559"/>
    <w:rsid w:val="000F7305"/>
    <w:rsid w:val="001039E8"/>
    <w:rsid w:val="00105690"/>
    <w:rsid w:val="0011006B"/>
    <w:rsid w:val="00122BC1"/>
    <w:rsid w:val="0012601E"/>
    <w:rsid w:val="00142F23"/>
    <w:rsid w:val="001438D8"/>
    <w:rsid w:val="00147F81"/>
    <w:rsid w:val="0015413C"/>
    <w:rsid w:val="00154F9E"/>
    <w:rsid w:val="0015538A"/>
    <w:rsid w:val="0015757D"/>
    <w:rsid w:val="001601C8"/>
    <w:rsid w:val="00160418"/>
    <w:rsid w:val="00160A38"/>
    <w:rsid w:val="0016180B"/>
    <w:rsid w:val="00181CE5"/>
    <w:rsid w:val="00193A32"/>
    <w:rsid w:val="0019437D"/>
    <w:rsid w:val="00195D92"/>
    <w:rsid w:val="001961F2"/>
    <w:rsid w:val="001969D7"/>
    <w:rsid w:val="001A1537"/>
    <w:rsid w:val="001A3816"/>
    <w:rsid w:val="001A3D3B"/>
    <w:rsid w:val="001B0D1B"/>
    <w:rsid w:val="001B7AC2"/>
    <w:rsid w:val="001C03E1"/>
    <w:rsid w:val="001C0C14"/>
    <w:rsid w:val="001C206E"/>
    <w:rsid w:val="001C531B"/>
    <w:rsid w:val="001D5CF9"/>
    <w:rsid w:val="001E71E8"/>
    <w:rsid w:val="001F055B"/>
    <w:rsid w:val="001F3D4E"/>
    <w:rsid w:val="001F62E8"/>
    <w:rsid w:val="001F7647"/>
    <w:rsid w:val="00204FB5"/>
    <w:rsid w:val="00210E4D"/>
    <w:rsid w:val="00216FFE"/>
    <w:rsid w:val="00224FC7"/>
    <w:rsid w:val="0023595F"/>
    <w:rsid w:val="00240281"/>
    <w:rsid w:val="00243479"/>
    <w:rsid w:val="00253AF9"/>
    <w:rsid w:val="00261CCB"/>
    <w:rsid w:val="0026450C"/>
    <w:rsid w:val="0027026B"/>
    <w:rsid w:val="00290570"/>
    <w:rsid w:val="00290C86"/>
    <w:rsid w:val="0029797B"/>
    <w:rsid w:val="00297ABB"/>
    <w:rsid w:val="002A4266"/>
    <w:rsid w:val="002A5073"/>
    <w:rsid w:val="002A7661"/>
    <w:rsid w:val="002B772F"/>
    <w:rsid w:val="002C05CE"/>
    <w:rsid w:val="002C1332"/>
    <w:rsid w:val="002C2137"/>
    <w:rsid w:val="002D19DC"/>
    <w:rsid w:val="002D3AB3"/>
    <w:rsid w:val="002D6CCF"/>
    <w:rsid w:val="002E32CE"/>
    <w:rsid w:val="002F28D4"/>
    <w:rsid w:val="002F2D56"/>
    <w:rsid w:val="003027E4"/>
    <w:rsid w:val="00311D13"/>
    <w:rsid w:val="0031663D"/>
    <w:rsid w:val="00316CFC"/>
    <w:rsid w:val="003170DE"/>
    <w:rsid w:val="00317F40"/>
    <w:rsid w:val="0032076F"/>
    <w:rsid w:val="00322DFD"/>
    <w:rsid w:val="00331723"/>
    <w:rsid w:val="003337BF"/>
    <w:rsid w:val="00334E54"/>
    <w:rsid w:val="003505BF"/>
    <w:rsid w:val="0035751A"/>
    <w:rsid w:val="00362CB5"/>
    <w:rsid w:val="00364590"/>
    <w:rsid w:val="00364A28"/>
    <w:rsid w:val="003666F8"/>
    <w:rsid w:val="00367A6A"/>
    <w:rsid w:val="00372EFF"/>
    <w:rsid w:val="003732DC"/>
    <w:rsid w:val="00383348"/>
    <w:rsid w:val="003841F4"/>
    <w:rsid w:val="0038509E"/>
    <w:rsid w:val="0038611C"/>
    <w:rsid w:val="003906A6"/>
    <w:rsid w:val="003933F4"/>
    <w:rsid w:val="00393B69"/>
    <w:rsid w:val="00394B4E"/>
    <w:rsid w:val="003954C7"/>
    <w:rsid w:val="003A6A9D"/>
    <w:rsid w:val="003A7A72"/>
    <w:rsid w:val="003B3A40"/>
    <w:rsid w:val="003B7E20"/>
    <w:rsid w:val="003C2EDE"/>
    <w:rsid w:val="003C4297"/>
    <w:rsid w:val="003C705D"/>
    <w:rsid w:val="003E0AE5"/>
    <w:rsid w:val="003E5B41"/>
    <w:rsid w:val="003E5ED3"/>
    <w:rsid w:val="003F1025"/>
    <w:rsid w:val="003F609E"/>
    <w:rsid w:val="003F6689"/>
    <w:rsid w:val="003F693A"/>
    <w:rsid w:val="004018CC"/>
    <w:rsid w:val="00403B95"/>
    <w:rsid w:val="00405AB9"/>
    <w:rsid w:val="00407638"/>
    <w:rsid w:val="00410874"/>
    <w:rsid w:val="00410AD2"/>
    <w:rsid w:val="00417125"/>
    <w:rsid w:val="00420F88"/>
    <w:rsid w:val="00426040"/>
    <w:rsid w:val="0043403C"/>
    <w:rsid w:val="004343B2"/>
    <w:rsid w:val="00435220"/>
    <w:rsid w:val="00444904"/>
    <w:rsid w:val="00445535"/>
    <w:rsid w:val="00450349"/>
    <w:rsid w:val="00451038"/>
    <w:rsid w:val="00451E57"/>
    <w:rsid w:val="004528E5"/>
    <w:rsid w:val="00455C55"/>
    <w:rsid w:val="00466058"/>
    <w:rsid w:val="00475B1C"/>
    <w:rsid w:val="004811B2"/>
    <w:rsid w:val="00486A1C"/>
    <w:rsid w:val="00487DA6"/>
    <w:rsid w:val="004922A6"/>
    <w:rsid w:val="00496FDE"/>
    <w:rsid w:val="004B01A0"/>
    <w:rsid w:val="004B3F62"/>
    <w:rsid w:val="004B5D8F"/>
    <w:rsid w:val="004C418A"/>
    <w:rsid w:val="004E3EF6"/>
    <w:rsid w:val="004E6C14"/>
    <w:rsid w:val="004F0DE6"/>
    <w:rsid w:val="004F0F78"/>
    <w:rsid w:val="004F57EF"/>
    <w:rsid w:val="004F7A71"/>
    <w:rsid w:val="00503F28"/>
    <w:rsid w:val="00504A75"/>
    <w:rsid w:val="00513BFA"/>
    <w:rsid w:val="00514410"/>
    <w:rsid w:val="0051468F"/>
    <w:rsid w:val="00515C64"/>
    <w:rsid w:val="00526CBC"/>
    <w:rsid w:val="00534246"/>
    <w:rsid w:val="0053586E"/>
    <w:rsid w:val="00537FA4"/>
    <w:rsid w:val="005417DA"/>
    <w:rsid w:val="0054347A"/>
    <w:rsid w:val="005435B4"/>
    <w:rsid w:val="00545062"/>
    <w:rsid w:val="00550FBC"/>
    <w:rsid w:val="00552E9E"/>
    <w:rsid w:val="00565A58"/>
    <w:rsid w:val="00567CA1"/>
    <w:rsid w:val="00570193"/>
    <w:rsid w:val="00571EFE"/>
    <w:rsid w:val="00573238"/>
    <w:rsid w:val="005737E3"/>
    <w:rsid w:val="005738B3"/>
    <w:rsid w:val="00586C9C"/>
    <w:rsid w:val="00591A99"/>
    <w:rsid w:val="00592B4B"/>
    <w:rsid w:val="005A0B06"/>
    <w:rsid w:val="005A0BEB"/>
    <w:rsid w:val="005A34E4"/>
    <w:rsid w:val="005A392B"/>
    <w:rsid w:val="005A3D8E"/>
    <w:rsid w:val="005A6175"/>
    <w:rsid w:val="005A78AA"/>
    <w:rsid w:val="005B25EF"/>
    <w:rsid w:val="005C2F96"/>
    <w:rsid w:val="005C589E"/>
    <w:rsid w:val="005D1B28"/>
    <w:rsid w:val="005D667F"/>
    <w:rsid w:val="005E2A97"/>
    <w:rsid w:val="005E75AE"/>
    <w:rsid w:val="005F4480"/>
    <w:rsid w:val="005F787F"/>
    <w:rsid w:val="005F7B70"/>
    <w:rsid w:val="006019AD"/>
    <w:rsid w:val="00604BE4"/>
    <w:rsid w:val="00623FA9"/>
    <w:rsid w:val="00630A0F"/>
    <w:rsid w:val="006519A5"/>
    <w:rsid w:val="0065223F"/>
    <w:rsid w:val="006541BE"/>
    <w:rsid w:val="00657C7A"/>
    <w:rsid w:val="006768D7"/>
    <w:rsid w:val="00677F2C"/>
    <w:rsid w:val="00681591"/>
    <w:rsid w:val="00683CE9"/>
    <w:rsid w:val="00691D47"/>
    <w:rsid w:val="00694505"/>
    <w:rsid w:val="00695A7C"/>
    <w:rsid w:val="006A0784"/>
    <w:rsid w:val="006A63A8"/>
    <w:rsid w:val="006B4FE9"/>
    <w:rsid w:val="006B64A8"/>
    <w:rsid w:val="006C3854"/>
    <w:rsid w:val="006C7EE8"/>
    <w:rsid w:val="006D09E2"/>
    <w:rsid w:val="006D0E35"/>
    <w:rsid w:val="006E0A5C"/>
    <w:rsid w:val="006F0C79"/>
    <w:rsid w:val="00700625"/>
    <w:rsid w:val="007036FF"/>
    <w:rsid w:val="00712BDA"/>
    <w:rsid w:val="00715088"/>
    <w:rsid w:val="00716251"/>
    <w:rsid w:val="00724006"/>
    <w:rsid w:val="00724927"/>
    <w:rsid w:val="00726458"/>
    <w:rsid w:val="00734EF4"/>
    <w:rsid w:val="007364DB"/>
    <w:rsid w:val="007400FA"/>
    <w:rsid w:val="00741193"/>
    <w:rsid w:val="00747B7F"/>
    <w:rsid w:val="00750B31"/>
    <w:rsid w:val="00757D2D"/>
    <w:rsid w:val="00760AD8"/>
    <w:rsid w:val="00765CB1"/>
    <w:rsid w:val="00772704"/>
    <w:rsid w:val="0077484F"/>
    <w:rsid w:val="00781B0E"/>
    <w:rsid w:val="0078383B"/>
    <w:rsid w:val="007850A3"/>
    <w:rsid w:val="007850DB"/>
    <w:rsid w:val="007879B8"/>
    <w:rsid w:val="007A0F7A"/>
    <w:rsid w:val="007A42AE"/>
    <w:rsid w:val="007A5C68"/>
    <w:rsid w:val="007A6115"/>
    <w:rsid w:val="007A6F63"/>
    <w:rsid w:val="007C0D22"/>
    <w:rsid w:val="007C0E52"/>
    <w:rsid w:val="007C3B85"/>
    <w:rsid w:val="007C6E81"/>
    <w:rsid w:val="007C754A"/>
    <w:rsid w:val="007D1505"/>
    <w:rsid w:val="007D15FC"/>
    <w:rsid w:val="007E0039"/>
    <w:rsid w:val="007E0C43"/>
    <w:rsid w:val="007E1A86"/>
    <w:rsid w:val="007E2ABF"/>
    <w:rsid w:val="007E3EDC"/>
    <w:rsid w:val="007F08E5"/>
    <w:rsid w:val="007F3654"/>
    <w:rsid w:val="007F3928"/>
    <w:rsid w:val="007F4459"/>
    <w:rsid w:val="007F58A2"/>
    <w:rsid w:val="007F5CF7"/>
    <w:rsid w:val="007F69B9"/>
    <w:rsid w:val="007F7A5A"/>
    <w:rsid w:val="008001B0"/>
    <w:rsid w:val="0080251A"/>
    <w:rsid w:val="0080259A"/>
    <w:rsid w:val="00810311"/>
    <w:rsid w:val="00817DFD"/>
    <w:rsid w:val="00821F0D"/>
    <w:rsid w:val="00822FA9"/>
    <w:rsid w:val="00827EFA"/>
    <w:rsid w:val="008324C9"/>
    <w:rsid w:val="00832A66"/>
    <w:rsid w:val="0083438B"/>
    <w:rsid w:val="0084225C"/>
    <w:rsid w:val="00843C73"/>
    <w:rsid w:val="00844B62"/>
    <w:rsid w:val="008469A5"/>
    <w:rsid w:val="0086070F"/>
    <w:rsid w:val="00860E16"/>
    <w:rsid w:val="00874A33"/>
    <w:rsid w:val="00875C46"/>
    <w:rsid w:val="0088700D"/>
    <w:rsid w:val="0089314A"/>
    <w:rsid w:val="0089589C"/>
    <w:rsid w:val="0089765A"/>
    <w:rsid w:val="008A05AA"/>
    <w:rsid w:val="008B04D9"/>
    <w:rsid w:val="008B729D"/>
    <w:rsid w:val="008D1D03"/>
    <w:rsid w:val="008D227F"/>
    <w:rsid w:val="008D2EB2"/>
    <w:rsid w:val="008D6C43"/>
    <w:rsid w:val="008F6CCA"/>
    <w:rsid w:val="00903CB9"/>
    <w:rsid w:val="00903DD1"/>
    <w:rsid w:val="0091661F"/>
    <w:rsid w:val="00923135"/>
    <w:rsid w:val="009243AB"/>
    <w:rsid w:val="009313AA"/>
    <w:rsid w:val="0095295D"/>
    <w:rsid w:val="00955D83"/>
    <w:rsid w:val="009617B1"/>
    <w:rsid w:val="00962FE1"/>
    <w:rsid w:val="00966A1A"/>
    <w:rsid w:val="00985972"/>
    <w:rsid w:val="009954FC"/>
    <w:rsid w:val="00996ABE"/>
    <w:rsid w:val="00996E06"/>
    <w:rsid w:val="009A04DA"/>
    <w:rsid w:val="009A4E96"/>
    <w:rsid w:val="009A5E5A"/>
    <w:rsid w:val="009A64B0"/>
    <w:rsid w:val="009B27D5"/>
    <w:rsid w:val="009B2F23"/>
    <w:rsid w:val="009B31DD"/>
    <w:rsid w:val="009B6EDD"/>
    <w:rsid w:val="009B7012"/>
    <w:rsid w:val="009C1810"/>
    <w:rsid w:val="009C692C"/>
    <w:rsid w:val="009C6A3A"/>
    <w:rsid w:val="009D103A"/>
    <w:rsid w:val="009D66AD"/>
    <w:rsid w:val="009E2E79"/>
    <w:rsid w:val="009E34BD"/>
    <w:rsid w:val="009F21A5"/>
    <w:rsid w:val="009F546C"/>
    <w:rsid w:val="00A0104D"/>
    <w:rsid w:val="00A04E6C"/>
    <w:rsid w:val="00A138E1"/>
    <w:rsid w:val="00A14AC7"/>
    <w:rsid w:val="00A208E6"/>
    <w:rsid w:val="00A22398"/>
    <w:rsid w:val="00A22448"/>
    <w:rsid w:val="00A23924"/>
    <w:rsid w:val="00A27E52"/>
    <w:rsid w:val="00A30B93"/>
    <w:rsid w:val="00A417D3"/>
    <w:rsid w:val="00A41F43"/>
    <w:rsid w:val="00A4377C"/>
    <w:rsid w:val="00A519FC"/>
    <w:rsid w:val="00A53F03"/>
    <w:rsid w:val="00A55D14"/>
    <w:rsid w:val="00A679D3"/>
    <w:rsid w:val="00A724AF"/>
    <w:rsid w:val="00A72B57"/>
    <w:rsid w:val="00A7783E"/>
    <w:rsid w:val="00A8551A"/>
    <w:rsid w:val="00A85AAD"/>
    <w:rsid w:val="00A92144"/>
    <w:rsid w:val="00A93255"/>
    <w:rsid w:val="00A93FFC"/>
    <w:rsid w:val="00AA2CF4"/>
    <w:rsid w:val="00AA5037"/>
    <w:rsid w:val="00AB10A6"/>
    <w:rsid w:val="00AB3011"/>
    <w:rsid w:val="00AC54AB"/>
    <w:rsid w:val="00AC6BF2"/>
    <w:rsid w:val="00AD72F0"/>
    <w:rsid w:val="00AD7309"/>
    <w:rsid w:val="00AE2696"/>
    <w:rsid w:val="00AE5C9F"/>
    <w:rsid w:val="00AE7AD2"/>
    <w:rsid w:val="00AF5B7A"/>
    <w:rsid w:val="00B00991"/>
    <w:rsid w:val="00B016FE"/>
    <w:rsid w:val="00B019C4"/>
    <w:rsid w:val="00B051AA"/>
    <w:rsid w:val="00B052F8"/>
    <w:rsid w:val="00B06906"/>
    <w:rsid w:val="00B07BC8"/>
    <w:rsid w:val="00B16DB0"/>
    <w:rsid w:val="00B22A92"/>
    <w:rsid w:val="00B45F18"/>
    <w:rsid w:val="00B46664"/>
    <w:rsid w:val="00B50EBB"/>
    <w:rsid w:val="00B52EAC"/>
    <w:rsid w:val="00B53F93"/>
    <w:rsid w:val="00B54E93"/>
    <w:rsid w:val="00B6437D"/>
    <w:rsid w:val="00B653CA"/>
    <w:rsid w:val="00B668F7"/>
    <w:rsid w:val="00B67A60"/>
    <w:rsid w:val="00B71AA3"/>
    <w:rsid w:val="00B7300D"/>
    <w:rsid w:val="00B80568"/>
    <w:rsid w:val="00B835CB"/>
    <w:rsid w:val="00B83941"/>
    <w:rsid w:val="00B85244"/>
    <w:rsid w:val="00B934E2"/>
    <w:rsid w:val="00B96E7C"/>
    <w:rsid w:val="00B970A0"/>
    <w:rsid w:val="00BA17AB"/>
    <w:rsid w:val="00BA4551"/>
    <w:rsid w:val="00BA51FC"/>
    <w:rsid w:val="00BB6A2A"/>
    <w:rsid w:val="00BB7E15"/>
    <w:rsid w:val="00BC05CB"/>
    <w:rsid w:val="00BC504A"/>
    <w:rsid w:val="00BC62F0"/>
    <w:rsid w:val="00BC6CF7"/>
    <w:rsid w:val="00BD33E9"/>
    <w:rsid w:val="00BD55AE"/>
    <w:rsid w:val="00BE3B90"/>
    <w:rsid w:val="00BE7187"/>
    <w:rsid w:val="00BE730F"/>
    <w:rsid w:val="00C04371"/>
    <w:rsid w:val="00C07B80"/>
    <w:rsid w:val="00C07DE6"/>
    <w:rsid w:val="00C213D9"/>
    <w:rsid w:val="00C300CE"/>
    <w:rsid w:val="00C3299B"/>
    <w:rsid w:val="00C32A81"/>
    <w:rsid w:val="00C337F6"/>
    <w:rsid w:val="00C33A78"/>
    <w:rsid w:val="00C34F18"/>
    <w:rsid w:val="00C3752A"/>
    <w:rsid w:val="00C413D5"/>
    <w:rsid w:val="00C445C8"/>
    <w:rsid w:val="00C44FB8"/>
    <w:rsid w:val="00C533EA"/>
    <w:rsid w:val="00C56AF6"/>
    <w:rsid w:val="00C64F47"/>
    <w:rsid w:val="00C66152"/>
    <w:rsid w:val="00C67325"/>
    <w:rsid w:val="00C70BAE"/>
    <w:rsid w:val="00C722C1"/>
    <w:rsid w:val="00C74A24"/>
    <w:rsid w:val="00C820A4"/>
    <w:rsid w:val="00C854A9"/>
    <w:rsid w:val="00C85875"/>
    <w:rsid w:val="00C873B0"/>
    <w:rsid w:val="00C906A7"/>
    <w:rsid w:val="00C909C0"/>
    <w:rsid w:val="00C90D90"/>
    <w:rsid w:val="00C91339"/>
    <w:rsid w:val="00C92072"/>
    <w:rsid w:val="00C95557"/>
    <w:rsid w:val="00C95CC2"/>
    <w:rsid w:val="00CB2CDD"/>
    <w:rsid w:val="00CB36E5"/>
    <w:rsid w:val="00CB7E21"/>
    <w:rsid w:val="00CC1BFB"/>
    <w:rsid w:val="00CC2227"/>
    <w:rsid w:val="00CC2FF6"/>
    <w:rsid w:val="00CC5874"/>
    <w:rsid w:val="00CD4BBA"/>
    <w:rsid w:val="00CD61B2"/>
    <w:rsid w:val="00CE4CC3"/>
    <w:rsid w:val="00CE5F3C"/>
    <w:rsid w:val="00CF03C3"/>
    <w:rsid w:val="00D00B85"/>
    <w:rsid w:val="00D02F0C"/>
    <w:rsid w:val="00D04F02"/>
    <w:rsid w:val="00D11511"/>
    <w:rsid w:val="00D12EF8"/>
    <w:rsid w:val="00D27397"/>
    <w:rsid w:val="00D31B86"/>
    <w:rsid w:val="00D32D87"/>
    <w:rsid w:val="00D33002"/>
    <w:rsid w:val="00D33058"/>
    <w:rsid w:val="00D34AEC"/>
    <w:rsid w:val="00D3564F"/>
    <w:rsid w:val="00D36BBF"/>
    <w:rsid w:val="00D44537"/>
    <w:rsid w:val="00D56AC0"/>
    <w:rsid w:val="00D6021F"/>
    <w:rsid w:val="00D61F52"/>
    <w:rsid w:val="00D64613"/>
    <w:rsid w:val="00D67C56"/>
    <w:rsid w:val="00D73D46"/>
    <w:rsid w:val="00D74B81"/>
    <w:rsid w:val="00D814F9"/>
    <w:rsid w:val="00D84205"/>
    <w:rsid w:val="00D92335"/>
    <w:rsid w:val="00D92EA4"/>
    <w:rsid w:val="00D9318A"/>
    <w:rsid w:val="00D95885"/>
    <w:rsid w:val="00D96459"/>
    <w:rsid w:val="00D97760"/>
    <w:rsid w:val="00DA47C4"/>
    <w:rsid w:val="00DA70B9"/>
    <w:rsid w:val="00DB3838"/>
    <w:rsid w:val="00DB5511"/>
    <w:rsid w:val="00DC0887"/>
    <w:rsid w:val="00DF4495"/>
    <w:rsid w:val="00DF54DD"/>
    <w:rsid w:val="00DF6598"/>
    <w:rsid w:val="00DF6AFE"/>
    <w:rsid w:val="00E078E6"/>
    <w:rsid w:val="00E10512"/>
    <w:rsid w:val="00E12358"/>
    <w:rsid w:val="00E21AC8"/>
    <w:rsid w:val="00E32AF7"/>
    <w:rsid w:val="00E410C9"/>
    <w:rsid w:val="00E412F6"/>
    <w:rsid w:val="00E44930"/>
    <w:rsid w:val="00E4591D"/>
    <w:rsid w:val="00E46C0D"/>
    <w:rsid w:val="00E46DE9"/>
    <w:rsid w:val="00E605C1"/>
    <w:rsid w:val="00E64563"/>
    <w:rsid w:val="00E65890"/>
    <w:rsid w:val="00E65E37"/>
    <w:rsid w:val="00E666AC"/>
    <w:rsid w:val="00E66E9E"/>
    <w:rsid w:val="00E71169"/>
    <w:rsid w:val="00E73772"/>
    <w:rsid w:val="00E76E29"/>
    <w:rsid w:val="00E811D9"/>
    <w:rsid w:val="00E81B85"/>
    <w:rsid w:val="00E92ADE"/>
    <w:rsid w:val="00E94452"/>
    <w:rsid w:val="00EA796C"/>
    <w:rsid w:val="00EB0926"/>
    <w:rsid w:val="00EB43E1"/>
    <w:rsid w:val="00EB4BDE"/>
    <w:rsid w:val="00EB649A"/>
    <w:rsid w:val="00EB679C"/>
    <w:rsid w:val="00EB69D5"/>
    <w:rsid w:val="00EC0E8A"/>
    <w:rsid w:val="00EC447D"/>
    <w:rsid w:val="00EC5BDD"/>
    <w:rsid w:val="00EC7381"/>
    <w:rsid w:val="00ED54ED"/>
    <w:rsid w:val="00ED5D2F"/>
    <w:rsid w:val="00EE3DC2"/>
    <w:rsid w:val="00EE71FF"/>
    <w:rsid w:val="00EE7672"/>
    <w:rsid w:val="00EF3D68"/>
    <w:rsid w:val="00EF788C"/>
    <w:rsid w:val="00F040B0"/>
    <w:rsid w:val="00F06A00"/>
    <w:rsid w:val="00F103F9"/>
    <w:rsid w:val="00F12439"/>
    <w:rsid w:val="00F1520A"/>
    <w:rsid w:val="00F200ED"/>
    <w:rsid w:val="00F2389F"/>
    <w:rsid w:val="00F256BC"/>
    <w:rsid w:val="00F30E89"/>
    <w:rsid w:val="00F34162"/>
    <w:rsid w:val="00F3623B"/>
    <w:rsid w:val="00F369EC"/>
    <w:rsid w:val="00F40E78"/>
    <w:rsid w:val="00F42EF5"/>
    <w:rsid w:val="00F43E48"/>
    <w:rsid w:val="00F446A3"/>
    <w:rsid w:val="00F45BF1"/>
    <w:rsid w:val="00F5270E"/>
    <w:rsid w:val="00F53B10"/>
    <w:rsid w:val="00F57F24"/>
    <w:rsid w:val="00F63028"/>
    <w:rsid w:val="00F639D0"/>
    <w:rsid w:val="00F70B28"/>
    <w:rsid w:val="00F82259"/>
    <w:rsid w:val="00F8646D"/>
    <w:rsid w:val="00F96358"/>
    <w:rsid w:val="00FA0B5A"/>
    <w:rsid w:val="00FA65ED"/>
    <w:rsid w:val="00FB51A5"/>
    <w:rsid w:val="00FB7454"/>
    <w:rsid w:val="00FC55D4"/>
    <w:rsid w:val="00FD1131"/>
    <w:rsid w:val="00FD1D37"/>
    <w:rsid w:val="00FD36B6"/>
    <w:rsid w:val="00FE7216"/>
    <w:rsid w:val="012679C4"/>
    <w:rsid w:val="03BB395A"/>
    <w:rsid w:val="03D54C46"/>
    <w:rsid w:val="03F2C8D3"/>
    <w:rsid w:val="0466FE65"/>
    <w:rsid w:val="05193505"/>
    <w:rsid w:val="090F3329"/>
    <w:rsid w:val="091E5A12"/>
    <w:rsid w:val="0A993C16"/>
    <w:rsid w:val="0AA6C36D"/>
    <w:rsid w:val="0BB432A6"/>
    <w:rsid w:val="0CB72F83"/>
    <w:rsid w:val="0CDD771E"/>
    <w:rsid w:val="100DBC92"/>
    <w:rsid w:val="1187A062"/>
    <w:rsid w:val="13E4ECFA"/>
    <w:rsid w:val="154B65F8"/>
    <w:rsid w:val="16E73659"/>
    <w:rsid w:val="17BCB077"/>
    <w:rsid w:val="1A2B2DE8"/>
    <w:rsid w:val="1A655F57"/>
    <w:rsid w:val="1AECD21E"/>
    <w:rsid w:val="1B397072"/>
    <w:rsid w:val="1C8D548C"/>
    <w:rsid w:val="1F1DD18E"/>
    <w:rsid w:val="1F401603"/>
    <w:rsid w:val="1FF59AE0"/>
    <w:rsid w:val="2160C5AF"/>
    <w:rsid w:val="240168C1"/>
    <w:rsid w:val="241493CA"/>
    <w:rsid w:val="246BD9AC"/>
    <w:rsid w:val="24D14005"/>
    <w:rsid w:val="2589B3F6"/>
    <w:rsid w:val="27468A12"/>
    <w:rsid w:val="2875F4A1"/>
    <w:rsid w:val="3122775D"/>
    <w:rsid w:val="31493076"/>
    <w:rsid w:val="33F05277"/>
    <w:rsid w:val="353BEBB7"/>
    <w:rsid w:val="39F18703"/>
    <w:rsid w:val="3BA4926F"/>
    <w:rsid w:val="3C0C8F58"/>
    <w:rsid w:val="3CA75943"/>
    <w:rsid w:val="3F634E8D"/>
    <w:rsid w:val="40DEA6E1"/>
    <w:rsid w:val="427F1455"/>
    <w:rsid w:val="45B6B517"/>
    <w:rsid w:val="46B65434"/>
    <w:rsid w:val="47902481"/>
    <w:rsid w:val="4802806C"/>
    <w:rsid w:val="4B5FF99B"/>
    <w:rsid w:val="4B7E4DD4"/>
    <w:rsid w:val="4B860E35"/>
    <w:rsid w:val="4BA70590"/>
    <w:rsid w:val="4CFB88B9"/>
    <w:rsid w:val="5023C37E"/>
    <w:rsid w:val="5204821F"/>
    <w:rsid w:val="531E2F74"/>
    <w:rsid w:val="54655189"/>
    <w:rsid w:val="56407F2A"/>
    <w:rsid w:val="57966F35"/>
    <w:rsid w:val="57C5BC8E"/>
    <w:rsid w:val="57DF6138"/>
    <w:rsid w:val="59B17D67"/>
    <w:rsid w:val="5A0C074D"/>
    <w:rsid w:val="5C23ED4A"/>
    <w:rsid w:val="5C4B5415"/>
    <w:rsid w:val="5C90B94D"/>
    <w:rsid w:val="5E0055CC"/>
    <w:rsid w:val="6250CFFE"/>
    <w:rsid w:val="63FB4317"/>
    <w:rsid w:val="651247EA"/>
    <w:rsid w:val="66C53B83"/>
    <w:rsid w:val="675C6134"/>
    <w:rsid w:val="69648203"/>
    <w:rsid w:val="6CC1E702"/>
    <w:rsid w:val="6EBEFB63"/>
    <w:rsid w:val="6EE7EE1A"/>
    <w:rsid w:val="70019B6F"/>
    <w:rsid w:val="7223AC9B"/>
    <w:rsid w:val="739488D9"/>
    <w:rsid w:val="739BAC16"/>
    <w:rsid w:val="744B8D08"/>
    <w:rsid w:val="74A43466"/>
    <w:rsid w:val="74D50C92"/>
    <w:rsid w:val="7762D48F"/>
    <w:rsid w:val="7A42ABDF"/>
    <w:rsid w:val="7D2965FF"/>
    <w:rsid w:val="7D31C1B8"/>
    <w:rsid w:val="7EB29EA0"/>
    <w:rsid w:val="7ED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5D247"/>
  <w15:chartTrackingRefBased/>
  <w15:docId w15:val="{1EA5CC13-4692-4A55-B8B5-DD0F0E55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BF"/>
  </w:style>
  <w:style w:type="paragraph" w:styleId="Heading1">
    <w:name w:val="heading 1"/>
    <w:basedOn w:val="Normal"/>
    <w:next w:val="Normal"/>
    <w:link w:val="Heading1Char"/>
    <w:uiPriority w:val="9"/>
    <w:qFormat/>
    <w:rsid w:val="00F42EF5"/>
    <w:pPr>
      <w:widowControl w:val="0"/>
      <w:numPr>
        <w:numId w:val="3"/>
      </w:numPr>
      <w:spacing w:before="240" w:after="240"/>
      <w:ind w:left="567" w:hanging="567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37"/>
    <w:pPr>
      <w:keepNext/>
      <w:keepLines/>
      <w:numPr>
        <w:ilvl w:val="1"/>
        <w:numId w:val="3"/>
      </w:numPr>
      <w:spacing w:before="40" w:after="120"/>
      <w:outlineLvl w:val="1"/>
    </w:pPr>
    <w:rPr>
      <w:rFonts w:ascii="Arial" w:eastAsiaTheme="majorEastAsia" w:hAnsi="Arial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E37"/>
    <w:pPr>
      <w:widowControl w:val="0"/>
      <w:numPr>
        <w:ilvl w:val="2"/>
        <w:numId w:val="3"/>
      </w:numPr>
      <w:spacing w:after="120"/>
      <w:outlineLvl w:val="2"/>
    </w:pPr>
    <w:rPr>
      <w:rFonts w:ascii="Arial" w:eastAsiaTheme="majorEastAsia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E37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E37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E37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E37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E37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E37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03"/>
  </w:style>
  <w:style w:type="paragraph" w:styleId="Footer">
    <w:name w:val="footer"/>
    <w:basedOn w:val="Normal"/>
    <w:link w:val="FooterChar"/>
    <w:uiPriority w:val="99"/>
    <w:unhideWhenUsed/>
    <w:rsid w:val="00A5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03"/>
  </w:style>
  <w:style w:type="table" w:styleId="TableGrid">
    <w:name w:val="Table Grid"/>
    <w:basedOn w:val="TableNormal"/>
    <w:uiPriority w:val="39"/>
    <w:rsid w:val="00A5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7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0A228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C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5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4A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8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EF5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5E37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5E37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5E3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E3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E3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E3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E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E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42EF5"/>
    <w:pPr>
      <w:keepNext/>
      <w:keepLines/>
      <w:widowControl/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42EF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42EF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42EF5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1438D8"/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438D8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DC2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0A64A4"/>
  </w:style>
  <w:style w:type="character" w:customStyle="1" w:styleId="normaltextrun">
    <w:name w:val="normaltextrun"/>
    <w:basedOn w:val="DefaultParagraphFont"/>
    <w:rsid w:val="0077484F"/>
  </w:style>
  <w:style w:type="character" w:customStyle="1" w:styleId="eop">
    <w:name w:val="eop"/>
    <w:basedOn w:val="DefaultParagraphFont"/>
    <w:rsid w:val="0077484F"/>
  </w:style>
  <w:style w:type="paragraph" w:styleId="NormalWeb">
    <w:name w:val="Normal (Web)"/>
    <w:basedOn w:val="Normal"/>
    <w:uiPriority w:val="99"/>
    <w:unhideWhenUsed/>
    <w:rsid w:val="00D7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7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QAV@tees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674508EABA4EA54FC34B19D3F1F5" ma:contentTypeVersion="6" ma:contentTypeDescription="Create a new document." ma:contentTypeScope="" ma:versionID="ed44d82eace5cbc24992d196c7ad25b0">
  <xsd:schema xmlns:xsd="http://www.w3.org/2001/XMLSchema" xmlns:xs="http://www.w3.org/2001/XMLSchema" xmlns:p="http://schemas.microsoft.com/office/2006/metadata/properties" xmlns:ns2="17a508de-0063-46ce-9ef4-2aca6c83e081" xmlns:ns3="7553658b-dd76-4612-9ead-c3dea5fc3105" targetNamespace="http://schemas.microsoft.com/office/2006/metadata/properties" ma:root="true" ma:fieldsID="455d04923645b553e6a7d215708c6fdb" ns2:_="" ns3:_="">
    <xsd:import namespace="17a508de-0063-46ce-9ef4-2aca6c83e081"/>
    <xsd:import namespace="7553658b-dd76-4612-9ead-c3dea5fc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08de-0063-46ce-9ef4-2aca6c83e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658b-dd76-4612-9ead-c3dea5fc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53658b-dd76-4612-9ead-c3dea5fc3105">
      <UserInfo>
        <DisplayName>Eaton, Jonathan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3DE79A-C8F0-4B61-A5FD-165A53E4B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E6752-553C-4556-887C-D1C9B0C97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508de-0063-46ce-9ef4-2aca6c83e081"/>
    <ds:schemaRef ds:uri="7553658b-dd76-4612-9ead-c3dea5fc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98015-0881-451C-8884-BD855D654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F0BD7-7353-42C1-A818-CA2C91191E0A}">
  <ds:schemaRefs>
    <ds:schemaRef ds:uri="http://schemas.microsoft.com/office/2006/metadata/properties"/>
    <ds:schemaRef ds:uri="http://schemas.microsoft.com/office/infopath/2007/PartnerControls"/>
    <ds:schemaRef ds:uri="7553658b-dd76-4612-9ead-c3dea5fc3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3067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mailto:QAV@tees.ac.uk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Tina</dc:creator>
  <cp:keywords/>
  <dc:description/>
  <cp:lastModifiedBy>Turner, Janice</cp:lastModifiedBy>
  <cp:revision>7</cp:revision>
  <cp:lastPrinted>2016-03-16T06:34:00Z</cp:lastPrinted>
  <dcterms:created xsi:type="dcterms:W3CDTF">2023-09-27T15:20:00Z</dcterms:created>
  <dcterms:modified xsi:type="dcterms:W3CDTF">2023-10-23T15:10:00Z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0x010100616E674508EABA4EA54FC34B19D3F1F5</vt:lpwstr>
  </property>
</Properties>
</file>